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0"/>
        <w:rPr>
          <w:rFonts w:hint="default" w:ascii="宋体" w:hAnsi="宋体" w:eastAsia="宋体" w:cs="宋体"/>
          <w:color w:val="000000" w:themeColor="text1"/>
          <w:szCs w:val="24"/>
          <w:highlight w:val="none"/>
          <w:lang w:val="en-US" w:eastAsia="zh-CN"/>
          <w14:textFill>
            <w14:solidFill>
              <w14:schemeClr w14:val="tx1"/>
            </w14:solidFill>
          </w14:textFill>
        </w:rPr>
      </w:pPr>
      <w:r>
        <w:rPr>
          <w:rFonts w:hint="eastAsia" w:ascii="宋体" w:hAnsi="宋体" w:eastAsia="宋体" w:cs="宋体"/>
          <w:color w:val="000000" w:themeColor="text1"/>
          <w:szCs w:val="24"/>
          <w:highlight w:val="none"/>
          <w:lang w:val="en-US" w:eastAsia="zh-CN"/>
          <w14:textFill>
            <w14:solidFill>
              <w14:schemeClr w14:val="tx1"/>
            </w14:solidFill>
          </w14:textFill>
        </w:rPr>
        <w:t xml:space="preserve">                                                                                      </w:t>
      </w:r>
      <w:r>
        <w:rPr>
          <w:rFonts w:hint="default" w:ascii="宋体" w:hAnsi="宋体" w:eastAsia="宋体" w:cs="宋体"/>
          <w:color w:val="000000" w:themeColor="text1"/>
          <w:szCs w:val="24"/>
          <w:highlight w:val="none"/>
          <w:lang w:val="en-US" w:eastAsia="zh-CN"/>
          <w14:textFill>
            <w14:solidFill>
              <w14:schemeClr w14:val="tx1"/>
            </w14:solidFill>
          </w14:textFill>
        </w:rPr>
      </w:r>
      <w:r/>
    </w:p>
    <w:p>
      <w:pPr>
        <w:pStyle w:val="1015"/>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r>
      <w:r/>
    </w:p>
    <w:p>
      <w:pP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苏州市相城区政府采购</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竞争性磋商文件 </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240" w:after="24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2225" w:right="-506" w:hanging="623"/>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项目编号：JSZC-320507-SZHJ-C2026-0007</w:t>
      </w:r>
      <w:r/>
    </w:p>
    <w:p>
      <w:pPr>
        <w:ind w:left="2225" w:right="-506" w:hanging="623"/>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项目名称：2026-2029年绿化养护监理服务</w:t>
      </w:r>
      <w:r/>
    </w:p>
    <w:p>
      <w:pPr>
        <w:ind w:left="2225" w:right="-506" w:hanging="623"/>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采购单位：苏州市相城区园林绿化建设管理中心</w:t>
      </w:r>
      <w:r/>
    </w:p>
    <w:p>
      <w:pPr>
        <w:ind w:left="0" w:right="-506" w:firstLine="1606"/>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项目类别：服务类</w:t>
      </w:r>
      <w:r/>
    </w:p>
    <w:p>
      <w:pPr>
        <w:ind w:left="0" w:right="-506" w:firstLine="1606"/>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506" w:firstLine="2731"/>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506" w:firstLine="2731"/>
        <w:jc w:val="both"/>
        <w:spacing w:before="0" w:after="0" w:line="360" w:lineRule="auto"/>
        <w:pBdr>
          <w:top w:val="none" w:color="000000" w:sz="4" w:space="0"/>
          <w:left w:val="none" w:color="000000" w:sz="4" w:space="0"/>
          <w:bottom w:val="none" w:color="000000" w:sz="4" w:space="0"/>
          <w:right w:val="none" w:color="000000" w:sz="4" w:space="0"/>
        </w:pBdr>
      </w:pPr>
      <w:r/>
      <w:r/>
    </w:p>
    <w:p>
      <w:pPr>
        <w:ind w:left="0" w:right="-506"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506"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506"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506"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江苏鸿渐投资咨询管理有限公司</w:t>
      </w:r>
      <w:r/>
    </w:p>
    <w:p>
      <w:pPr>
        <w:ind w:left="0" w:right="-506" w:firstLine="1"/>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二○二六年六月</w:t>
      </w:r>
      <w:r/>
    </w:p>
    <w:p>
      <w:pPr>
        <w:ind w:right="-506" w:firstLine="1"/>
        <w:jc w:val="center"/>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br w:type="page" w:clear="all"/>
      </w:r>
      <w:r>
        <w:rPr>
          <w:rFonts w:hint="eastAsia" w:ascii="宋体" w:hAnsi="宋体" w:cs="宋体"/>
          <w:b/>
          <w:bCs/>
          <w:color w:val="000000" w:themeColor="text1"/>
          <w:sz w:val="36"/>
          <w:szCs w:val="32"/>
          <w:highlight w:val="none"/>
          <w14:textFill>
            <w14:solidFill>
              <w14:schemeClr w14:val="tx1"/>
            </w14:solidFill>
          </w14:textFill>
        </w:rPr>
        <w:t xml:space="preserve">目录</w:t>
      </w:r>
      <w:r/>
    </w:p>
    <w:p>
      <w:pPr>
        <w:pStyle w:val="983"/>
        <w:tabs>
          <w:tab w:val="right" w:pos="9412" w:leader="dot"/>
        </w:tabs>
        <w:rPr>
          <w:sz w:val="32"/>
          <w:szCs w:val="28"/>
          <w:highlight w:val="none"/>
        </w:rPr>
      </w:pPr>
      <w:r>
        <w:rPr>
          <w:rFonts w:hint="eastAsia" w:ascii="宋体" w:hAnsi="宋体" w:cs="宋体"/>
          <w:b/>
          <w:bCs/>
          <w:color w:val="000000" w:themeColor="text1"/>
          <w:sz w:val="48"/>
          <w:szCs w:val="48"/>
          <w:highlight w:val="none"/>
          <w14:textFill>
            <w14:solidFill>
              <w14:schemeClr w14:val="tx1"/>
            </w14:solidFill>
          </w14:textFill>
        </w:rPr>
        <w:fldChar w:fldCharType="begin"/>
      </w:r>
      <w:r>
        <w:rPr>
          <w:rFonts w:hint="eastAsia" w:ascii="宋体" w:hAnsi="宋体" w:cs="宋体"/>
          <w:b/>
          <w:bCs/>
          <w:color w:val="000000" w:themeColor="text1"/>
          <w:sz w:val="48"/>
          <w:szCs w:val="48"/>
          <w:highlight w:val="none"/>
          <w14:textFill>
            <w14:solidFill>
              <w14:schemeClr w14:val="tx1"/>
            </w14:solidFill>
          </w14:textFill>
        </w:rPr>
        <w:instrText xml:space="preserve">TOC \o "1-3" \h \u </w:instrText>
      </w:r>
      <w:r>
        <w:rPr>
          <w:rFonts w:hint="eastAsia" w:ascii="宋体" w:hAnsi="宋体" w:cs="宋体"/>
          <w:b/>
          <w:bCs/>
          <w:color w:val="000000" w:themeColor="text1"/>
          <w:sz w:val="48"/>
          <w:szCs w:val="48"/>
          <w:highlight w:val="none"/>
          <w14:textFill>
            <w14:solidFill>
              <w14:schemeClr w14:val="tx1"/>
            </w14:solidFill>
          </w14:textFill>
        </w:rPr>
        <w:fldChar w:fldCharType="separate"/>
      </w:r>
      <w:r>
        <w:rPr>
          <w:highlight w:val="none"/>
        </w:rPr>
        <w:fldChar w:fldCharType="begin"/>
      </w:r>
      <w:r>
        <w:rPr>
          <w:highlight w:val="none"/>
        </w:rPr>
        <w:instrText xml:space="preserve"> HYPERLINK \l "_Toc16848" </w:instrText>
      </w:r>
      <w:r>
        <w:rPr>
          <w:highlight w:val="none"/>
        </w:rPr>
        <w:fldChar w:fldCharType="separate"/>
      </w:r>
      <w:r>
        <w:rPr>
          <w:rFonts w:hint="eastAsia" w:ascii="宋体" w:hAnsi="宋体" w:cs="宋体"/>
          <w:sz w:val="32"/>
          <w:szCs w:val="28"/>
          <w:highlight w:val="none"/>
        </w:rPr>
        <w:t xml:space="preserve">第一章 磋商邀请函</w:t>
      </w:r>
      <w:r>
        <w:rPr>
          <w:sz w:val="32"/>
          <w:szCs w:val="28"/>
          <w:highlight w:val="none"/>
        </w:rPr>
        <w:tab/>
      </w:r>
      <w:r>
        <w:rPr>
          <w:sz w:val="32"/>
          <w:szCs w:val="28"/>
          <w:highlight w:val="none"/>
        </w:rPr>
        <w:fldChar w:fldCharType="begin"/>
      </w:r>
      <w:r>
        <w:rPr>
          <w:sz w:val="32"/>
          <w:szCs w:val="28"/>
          <w:highlight w:val="none"/>
        </w:rPr>
        <w:instrText xml:space="preserve"> PAGEREF _Toc16848 \h </w:instrText>
      </w:r>
      <w:r>
        <w:rPr>
          <w:sz w:val="32"/>
          <w:szCs w:val="28"/>
          <w:highlight w:val="none"/>
        </w:rPr>
        <w:fldChar w:fldCharType="separate"/>
      </w:r>
      <w:r>
        <w:rPr>
          <w:sz w:val="32"/>
          <w:szCs w:val="28"/>
          <w:highlight w:val="none"/>
        </w:rPr>
        <w:t xml:space="preserve">5</w:t>
      </w:r>
      <w:r>
        <w:rPr>
          <w:sz w:val="32"/>
          <w:szCs w:val="28"/>
          <w:highlight w:val="none"/>
        </w:rPr>
        <w:fldChar w:fldCharType="end"/>
      </w:r>
      <w:r>
        <w:rPr>
          <w:sz w:val="32"/>
          <w:szCs w:val="28"/>
          <w:highlight w:val="none"/>
        </w:rPr>
        <w:fldChar w:fldCharType="end"/>
      </w:r>
      <w:r/>
    </w:p>
    <w:p>
      <w:pPr>
        <w:pStyle w:val="983"/>
        <w:tabs>
          <w:tab w:val="right" w:pos="9412" w:leader="dot"/>
        </w:tabs>
        <w:rPr>
          <w:sz w:val="32"/>
          <w:szCs w:val="28"/>
          <w:highlight w:val="none"/>
        </w:rPr>
      </w:pPr>
      <w:r>
        <w:rPr>
          <w:highlight w:val="none"/>
        </w:rPr>
        <w:fldChar w:fldCharType="begin"/>
      </w:r>
      <w:r>
        <w:rPr>
          <w:highlight w:val="none"/>
        </w:rPr>
        <w:instrText xml:space="preserve"> HYPERLINK \l "_Toc9380" </w:instrText>
      </w:r>
      <w:r>
        <w:rPr>
          <w:highlight w:val="none"/>
        </w:rPr>
        <w:fldChar w:fldCharType="separate"/>
      </w:r>
      <w:r>
        <w:rPr>
          <w:rFonts w:hint="eastAsia" w:ascii="宋体" w:hAnsi="宋体" w:cs="宋体"/>
          <w:sz w:val="32"/>
          <w:szCs w:val="28"/>
          <w:highlight w:val="none"/>
        </w:rPr>
        <w:t xml:space="preserve">第二章 磋商须知</w:t>
      </w:r>
      <w:r>
        <w:rPr>
          <w:sz w:val="32"/>
          <w:szCs w:val="28"/>
          <w:highlight w:val="none"/>
        </w:rPr>
        <w:tab/>
      </w:r>
      <w:r>
        <w:rPr>
          <w:sz w:val="32"/>
          <w:szCs w:val="28"/>
          <w:highlight w:val="none"/>
        </w:rPr>
        <w:fldChar w:fldCharType="begin"/>
      </w:r>
      <w:r>
        <w:rPr>
          <w:sz w:val="32"/>
          <w:szCs w:val="28"/>
          <w:highlight w:val="none"/>
        </w:rPr>
        <w:instrText xml:space="preserve"> PAGEREF _Toc9380 \h </w:instrText>
      </w:r>
      <w:r>
        <w:rPr>
          <w:sz w:val="32"/>
          <w:szCs w:val="28"/>
          <w:highlight w:val="none"/>
        </w:rPr>
        <w:fldChar w:fldCharType="separate"/>
      </w:r>
      <w:r>
        <w:rPr>
          <w:sz w:val="32"/>
          <w:szCs w:val="28"/>
          <w:highlight w:val="none"/>
        </w:rPr>
        <w:t xml:space="preserve">9</w:t>
      </w:r>
      <w:r>
        <w:rPr>
          <w:sz w:val="32"/>
          <w:szCs w:val="28"/>
          <w:highlight w:val="none"/>
        </w:rPr>
        <w:fldChar w:fldCharType="end"/>
      </w:r>
      <w:r>
        <w:rPr>
          <w:sz w:val="32"/>
          <w:szCs w:val="28"/>
          <w:highlight w:val="none"/>
        </w:rPr>
        <w:fldChar w:fldCharType="end"/>
      </w:r>
      <w:r/>
    </w:p>
    <w:p>
      <w:pPr>
        <w:pStyle w:val="983"/>
        <w:tabs>
          <w:tab w:val="right" w:pos="9412" w:leader="dot"/>
        </w:tabs>
        <w:rPr>
          <w:sz w:val="32"/>
          <w:szCs w:val="28"/>
          <w:highlight w:val="none"/>
        </w:rPr>
      </w:pPr>
      <w:r>
        <w:rPr>
          <w:highlight w:val="none"/>
        </w:rPr>
        <w:fldChar w:fldCharType="begin"/>
      </w:r>
      <w:r>
        <w:rPr>
          <w:highlight w:val="none"/>
        </w:rPr>
        <w:instrText xml:space="preserve"> HYPERLINK \l "_Toc9664" </w:instrText>
      </w:r>
      <w:r>
        <w:rPr>
          <w:highlight w:val="none"/>
        </w:rPr>
        <w:fldChar w:fldCharType="separate"/>
      </w:r>
      <w:r>
        <w:rPr>
          <w:rFonts w:hint="eastAsia" w:ascii="宋体" w:hAnsi="宋体" w:cs="宋体"/>
          <w:bCs/>
          <w:sz w:val="32"/>
          <w:szCs w:val="28"/>
          <w:highlight w:val="none"/>
        </w:rPr>
        <w:t xml:space="preserve">第三章 竞争性磋商文件</w:t>
      </w:r>
      <w:r>
        <w:rPr>
          <w:sz w:val="32"/>
          <w:szCs w:val="28"/>
          <w:highlight w:val="none"/>
        </w:rPr>
        <w:tab/>
      </w:r>
      <w:r>
        <w:rPr>
          <w:sz w:val="32"/>
          <w:szCs w:val="28"/>
          <w:highlight w:val="none"/>
        </w:rPr>
        <w:fldChar w:fldCharType="begin"/>
      </w:r>
      <w:r>
        <w:rPr>
          <w:sz w:val="32"/>
          <w:szCs w:val="28"/>
          <w:highlight w:val="none"/>
        </w:rPr>
        <w:instrText xml:space="preserve"> PAGEREF _Toc9664 \h </w:instrText>
      </w:r>
      <w:r>
        <w:rPr>
          <w:sz w:val="32"/>
          <w:szCs w:val="28"/>
          <w:highlight w:val="none"/>
        </w:rPr>
        <w:fldChar w:fldCharType="separate"/>
      </w:r>
      <w:r>
        <w:rPr>
          <w:sz w:val="32"/>
          <w:szCs w:val="28"/>
          <w:highlight w:val="none"/>
        </w:rPr>
        <w:t xml:space="preserve">9</w:t>
      </w:r>
      <w:r>
        <w:rPr>
          <w:sz w:val="32"/>
          <w:szCs w:val="28"/>
          <w:highlight w:val="none"/>
        </w:rPr>
        <w:fldChar w:fldCharType="end"/>
      </w:r>
      <w:r>
        <w:rPr>
          <w:sz w:val="32"/>
          <w:szCs w:val="28"/>
          <w:highlight w:val="none"/>
        </w:rPr>
        <w:fldChar w:fldCharType="end"/>
      </w:r>
      <w:r/>
    </w:p>
    <w:p>
      <w:pPr>
        <w:pStyle w:val="983"/>
        <w:tabs>
          <w:tab w:val="right" w:pos="9412" w:leader="dot"/>
        </w:tabs>
        <w:rPr>
          <w:sz w:val="32"/>
          <w:szCs w:val="28"/>
          <w:highlight w:val="none"/>
        </w:rPr>
      </w:pPr>
      <w:r>
        <w:rPr>
          <w:highlight w:val="none"/>
        </w:rPr>
        <w:fldChar w:fldCharType="begin"/>
      </w:r>
      <w:r>
        <w:rPr>
          <w:highlight w:val="none"/>
        </w:rPr>
        <w:instrText xml:space="preserve"> HYPERLINK \l "_Toc17491" </w:instrText>
      </w:r>
      <w:r>
        <w:rPr>
          <w:highlight w:val="none"/>
        </w:rPr>
        <w:fldChar w:fldCharType="separate"/>
      </w:r>
      <w:r>
        <w:rPr>
          <w:rFonts w:hint="eastAsia" w:ascii="宋体" w:hAnsi="宋体" w:cs="宋体"/>
          <w:bCs/>
          <w:sz w:val="32"/>
          <w:szCs w:val="28"/>
          <w:highlight w:val="none"/>
        </w:rPr>
        <w:t xml:space="preserve">第四章 评审方法及评分标准</w:t>
      </w:r>
      <w:r>
        <w:rPr>
          <w:sz w:val="32"/>
          <w:szCs w:val="28"/>
          <w:highlight w:val="none"/>
        </w:rPr>
        <w:tab/>
      </w:r>
      <w:r>
        <w:rPr>
          <w:sz w:val="32"/>
          <w:szCs w:val="28"/>
          <w:highlight w:val="none"/>
        </w:rPr>
        <w:fldChar w:fldCharType="begin"/>
      </w:r>
      <w:r>
        <w:rPr>
          <w:sz w:val="32"/>
          <w:szCs w:val="28"/>
          <w:highlight w:val="none"/>
        </w:rPr>
        <w:instrText xml:space="preserve"> PAGEREF _Toc17491 \h </w:instrText>
      </w:r>
      <w:r>
        <w:rPr>
          <w:sz w:val="32"/>
          <w:szCs w:val="28"/>
          <w:highlight w:val="none"/>
        </w:rPr>
        <w:fldChar w:fldCharType="separate"/>
      </w:r>
      <w:r>
        <w:rPr>
          <w:sz w:val="32"/>
          <w:szCs w:val="28"/>
          <w:highlight w:val="none"/>
        </w:rPr>
        <w:t xml:space="preserve">23</w:t>
      </w:r>
      <w:r>
        <w:rPr>
          <w:sz w:val="32"/>
          <w:szCs w:val="28"/>
          <w:highlight w:val="none"/>
        </w:rPr>
        <w:fldChar w:fldCharType="end"/>
      </w:r>
      <w:r>
        <w:rPr>
          <w:sz w:val="32"/>
          <w:szCs w:val="28"/>
          <w:highlight w:val="none"/>
        </w:rPr>
        <w:fldChar w:fldCharType="end"/>
      </w:r>
      <w:r/>
    </w:p>
    <w:p>
      <w:pPr>
        <w:pStyle w:val="983"/>
        <w:tabs>
          <w:tab w:val="right" w:pos="9412" w:leader="dot"/>
        </w:tabs>
        <w:rPr>
          <w:sz w:val="32"/>
          <w:szCs w:val="28"/>
          <w:highlight w:val="none"/>
        </w:rPr>
      </w:pPr>
      <w:r>
        <w:rPr>
          <w:highlight w:val="none"/>
        </w:rPr>
        <w:fldChar w:fldCharType="begin"/>
      </w:r>
      <w:r>
        <w:rPr>
          <w:highlight w:val="none"/>
        </w:rPr>
        <w:instrText xml:space="preserve"> HYPERLINK \l "_Toc26322" </w:instrText>
      </w:r>
      <w:r>
        <w:rPr>
          <w:highlight w:val="none"/>
        </w:rPr>
        <w:fldChar w:fldCharType="separate"/>
      </w:r>
      <w:r>
        <w:rPr>
          <w:rFonts w:hint="eastAsia" w:ascii="宋体" w:hAnsi="宋体" w:cs="宋体"/>
          <w:bCs/>
          <w:sz w:val="32"/>
          <w:szCs w:val="28"/>
          <w:highlight w:val="none"/>
        </w:rPr>
        <w:t xml:space="preserve">第五章 合同主要条款</w:t>
      </w:r>
      <w:r>
        <w:rPr>
          <w:sz w:val="32"/>
          <w:szCs w:val="28"/>
          <w:highlight w:val="none"/>
        </w:rPr>
        <w:tab/>
      </w:r>
      <w:r>
        <w:rPr>
          <w:sz w:val="32"/>
          <w:szCs w:val="28"/>
          <w:highlight w:val="none"/>
        </w:rPr>
        <w:fldChar w:fldCharType="begin"/>
      </w:r>
      <w:r>
        <w:rPr>
          <w:sz w:val="32"/>
          <w:szCs w:val="28"/>
          <w:highlight w:val="none"/>
        </w:rPr>
        <w:instrText xml:space="preserve"> PAGEREF _Toc26322 \h </w:instrText>
      </w:r>
      <w:r>
        <w:rPr>
          <w:sz w:val="32"/>
          <w:szCs w:val="28"/>
          <w:highlight w:val="none"/>
        </w:rPr>
        <w:fldChar w:fldCharType="separate"/>
      </w:r>
      <w:r>
        <w:rPr>
          <w:sz w:val="32"/>
          <w:szCs w:val="28"/>
          <w:highlight w:val="none"/>
        </w:rPr>
        <w:t xml:space="preserve">27</w:t>
      </w:r>
      <w:r>
        <w:rPr>
          <w:sz w:val="32"/>
          <w:szCs w:val="28"/>
          <w:highlight w:val="none"/>
        </w:rPr>
        <w:fldChar w:fldCharType="end"/>
      </w:r>
      <w:r>
        <w:rPr>
          <w:sz w:val="32"/>
          <w:szCs w:val="28"/>
          <w:highlight w:val="none"/>
        </w:rPr>
        <w:fldChar w:fldCharType="end"/>
      </w:r>
      <w:r/>
    </w:p>
    <w:p>
      <w:pPr>
        <w:pStyle w:val="983"/>
        <w:tabs>
          <w:tab w:val="right" w:pos="9412" w:leader="dot"/>
        </w:tabs>
        <w:rPr>
          <w:sz w:val="32"/>
          <w:szCs w:val="28"/>
          <w:highlight w:val="none"/>
        </w:rPr>
      </w:pPr>
      <w:r>
        <w:rPr>
          <w:highlight w:val="none"/>
        </w:rPr>
        <w:fldChar w:fldCharType="begin"/>
      </w:r>
      <w:r>
        <w:rPr>
          <w:highlight w:val="none"/>
        </w:rPr>
        <w:instrText xml:space="preserve"> HYPERLINK \l "_Toc6367" </w:instrText>
      </w:r>
      <w:r>
        <w:rPr>
          <w:highlight w:val="none"/>
        </w:rPr>
        <w:fldChar w:fldCharType="separate"/>
      </w:r>
      <w:r>
        <w:rPr>
          <w:rFonts w:hint="eastAsia" w:ascii="宋体" w:hAnsi="宋体" w:cs="宋体"/>
          <w:sz w:val="32"/>
          <w:szCs w:val="28"/>
          <w:highlight w:val="none"/>
        </w:rPr>
        <w:t xml:space="preserve">第六章 附件</w:t>
      </w:r>
      <w:r>
        <w:rPr>
          <w:sz w:val="32"/>
          <w:szCs w:val="28"/>
          <w:highlight w:val="none"/>
        </w:rPr>
        <w:tab/>
      </w:r>
      <w:r>
        <w:rPr>
          <w:sz w:val="32"/>
          <w:szCs w:val="28"/>
          <w:highlight w:val="none"/>
        </w:rPr>
        <w:fldChar w:fldCharType="begin"/>
      </w:r>
      <w:r>
        <w:rPr>
          <w:sz w:val="32"/>
          <w:szCs w:val="28"/>
          <w:highlight w:val="none"/>
        </w:rPr>
        <w:instrText xml:space="preserve"> PAGEREF _Toc6367 \h </w:instrText>
      </w:r>
      <w:r>
        <w:rPr>
          <w:sz w:val="32"/>
          <w:szCs w:val="28"/>
          <w:highlight w:val="none"/>
        </w:rPr>
        <w:fldChar w:fldCharType="separate"/>
      </w:r>
      <w:r>
        <w:rPr>
          <w:sz w:val="32"/>
          <w:szCs w:val="28"/>
          <w:highlight w:val="none"/>
        </w:rPr>
        <w:t xml:space="preserve">32</w:t>
      </w:r>
      <w:r>
        <w:rPr>
          <w:sz w:val="32"/>
          <w:szCs w:val="28"/>
          <w:highlight w:val="none"/>
        </w:rPr>
        <w:fldChar w:fldCharType="end"/>
      </w:r>
      <w:r>
        <w:rPr>
          <w:sz w:val="32"/>
          <w:szCs w:val="28"/>
          <w:highlight w:val="none"/>
        </w:rPr>
        <w:fldChar w:fldCharType="end"/>
      </w:r>
      <w:r/>
    </w:p>
    <w:p>
      <w:pPr>
        <w:pStyle w:val="1015"/>
        <w:spacing w:line="480" w:lineRule="auto"/>
        <w:rPr>
          <w:rFonts w:hint="eastAsia" w:hAnsi="宋体" w:cs="宋体"/>
          <w:color w:val="000000" w:themeColor="text1"/>
          <w:sz w:val="48"/>
          <w:szCs w:val="48"/>
          <w:highlight w:val="none"/>
          <w14:textFill>
            <w14:solidFill>
              <w14:schemeClr w14:val="tx1"/>
            </w14:solidFill>
          </w14:textFill>
        </w:rPr>
      </w:pPr>
      <w:r>
        <w:rPr>
          <w:rFonts w:hint="eastAsia" w:hAnsi="宋体" w:cs="宋体"/>
          <w:bCs/>
          <w:color w:val="000000" w:themeColor="text1"/>
          <w:sz w:val="32"/>
          <w:szCs w:val="48"/>
          <w:highlight w:val="none"/>
          <w14:textFill>
            <w14:solidFill>
              <w14:schemeClr w14:val="tx1"/>
            </w14:solidFill>
          </w14:textFill>
        </w:rPr>
        <w:fldChar w:fldCharType="end"/>
      </w:r>
      <w:r/>
    </w:p>
    <w:p>
      <w:pPr>
        <w:ind w:right="-506"/>
        <w:spacing w:line="360" w:lineRule="auto"/>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r>
      <w:r/>
    </w:p>
    <w:p>
      <w:pPr>
        <w:ind w:left="899" w:right="-506" w:firstLine="2891"/>
        <w:spacing w:line="360" w:lineRule="auto"/>
        <w:rPr>
          <w:rFonts w:hint="eastAsia" w:ascii="宋体" w:hAnsi="宋体" w:cs="宋体"/>
          <w:b/>
          <w:color w:val="000000" w:themeColor="text1"/>
          <w:sz w:val="32"/>
          <w:szCs w:val="32"/>
          <w:highlight w:val="none"/>
          <w14:textFill>
            <w14:solidFill>
              <w14:schemeClr w14:val="tx1"/>
            </w14:solidFill>
          </w14:textFill>
        </w:rPr>
        <w:sectPr>
          <w:headerReference w:type="default" r:id="rId9"/>
          <w:footerReference w:type="default" r:id="rId10"/>
          <w:footerReference w:type="first" r:id="rId11"/>
          <w:footnotePr/>
          <w:endnotePr/>
          <w:type w:val="nextPage"/>
          <w:pgSz w:w="11906" w:h="16838" w:orient="portrait"/>
          <w:pgMar w:top="680" w:right="1247" w:bottom="680" w:left="1247" w:header="851" w:footer="794" w:gutter="0"/>
          <w:pgNumType w:start="1"/>
          <w:cols w:num="1" w:sep="0" w:space="720" w:equalWidth="1"/>
          <w:docGrid w:linePitch="360"/>
        </w:sectPr>
      </w:pPr>
      <w:r>
        <w:rPr>
          <w:rFonts w:hint="eastAsia" w:ascii="宋体" w:hAnsi="宋体" w:cs="宋体"/>
          <w:b/>
          <w:color w:val="000000" w:themeColor="text1"/>
          <w:sz w:val="32"/>
          <w:szCs w:val="32"/>
          <w:highlight w:val="none"/>
          <w14:textFill>
            <w14:solidFill>
              <w14:schemeClr w14:val="tx1"/>
            </w14:solidFill>
          </w14:textFill>
        </w:rPr>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0"/>
          <w:u w:val="none"/>
        </w:rPr>
        <w:t xml:space="preserve">前附表</w:t>
      </w:r>
      <w:r/>
    </w:p>
    <w:tbl>
      <w:tblPr>
        <w:tblStyle w:val="99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88"/>
        <w:gridCol w:w="1880"/>
        <w:gridCol w:w="6686"/>
      </w:tblGrid>
      <w:tr>
        <w:trPr>
          <w:trHeight w:val="5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8"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8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8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内               容</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8"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6"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JSZC-320507-SZHJ-C2026-0007</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8"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6"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2026-2029年绿化养护监理服务</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8" w:type="dxa"/>
            <w:vAlign w:val="center"/>
            <w:textDirection w:val="lrTb"/>
            <w:noWrap w:val="false"/>
          </w:tcPr>
          <w:p>
            <w:pPr>
              <w:ind w:left="0" w:right="0" w:firstLine="0"/>
              <w:jc w:val="center"/>
              <w:spacing w:before="0" w:after="0" w:line="360" w:lineRule="auto"/>
              <w:tabs>
                <w:tab w:val="left" w:pos="25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采购代理机构</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名称及地址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6"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名称：江苏鸿渐投资咨询管理有限公司</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地址：苏州市相城区相城大道666号中翔大厦25楼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联系人：葛思陇、魏瑜伽</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联系电话：0512-87770870</w:t>
            </w:r>
            <w:r/>
          </w:p>
        </w:tc>
      </w:tr>
      <w:tr>
        <w:trPr>
          <w:trHeight w:val="57"/>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8"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采购单位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6"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名称：苏州市相城区园林绿化建设管理中心</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地址：苏州市相城区阳澄湖东路 8 号</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联系人：胡延东</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联系电话：0512-85181343</w:t>
            </w:r>
            <w:r/>
          </w:p>
        </w:tc>
      </w:tr>
      <w:tr>
        <w:trPr>
          <w:trHeight w:val="57"/>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8"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成交服务费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6"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领取成交通知书时成交供应商向招标代理机构一次性付清。本项目代理费金额为20280.00元，供应商所投报价应当包含该项目代理服务费。成交服务费的收取按差额定率累进法计算。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收费标准：预算金额100万以下费率为预算金额的1.5%；</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预算金额100－500万费率为预算金额的1.1%。</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交纳账户名：江苏鸿渐投资咨询管理有限公司</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开户银行：苏州银行扬东支行</w:t>
            </w:r>
            <w:r/>
          </w:p>
          <w:p>
            <w:pPr>
              <w:ind w:left="0" w:right="36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   号：7066100141120102000580</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8"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响应文件组成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6"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详见采购文件第二章</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8"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磋商保证金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6"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本项目不收取磋商保证金，投标（响应）人应在投标（响应）文件中提交《投标（响应）保证承诺书》，否则为无效投标。</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8"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响应文件有效期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6"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响应文件提交截止之日起六十天（日历日）</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8"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响应文件网上</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提交截止时间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6"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2026-6-22  13:30 </w:t>
            </w:r>
            <w:r>
              <w:rPr>
                <w:rFonts w:ascii="SimSun" w:hAnsi="SimSun" w:eastAsia="SimSun" w:cs="SimSun"/>
                <w:color w:val="000000"/>
                <w:sz w:val="21"/>
              </w:rPr>
              <w:t xml:space="preserve">（北京时间）</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响应文件必须在截止时间前完成提交（上传），逾期提交（上传）的响应文件恕不接受。</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8"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开启时间</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开启地点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6"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2026-6-22 13:30 </w:t>
            </w:r>
            <w:r>
              <w:rPr>
                <w:rFonts w:ascii="SimSun" w:hAnsi="SimSun" w:eastAsia="SimSun" w:cs="SimSun"/>
                <w:color w:val="000000"/>
                <w:sz w:val="21"/>
              </w:rPr>
              <w:t xml:space="preserve">（北京时间）</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“苏采云”系统（网址：</w:t>
            </w:r>
            <w:hyperlink r:id="rId15" w:tooltip="http://jszfcg.jsczt.cn/" w:history="1">
              <w:r>
                <w:rPr>
                  <w:rStyle w:val="1004"/>
                  <w:rFonts w:ascii="SimSun" w:hAnsi="SimSun" w:eastAsia="SimSun" w:cs="SimSun"/>
                  <w:color w:val="0000ee"/>
                  <w:sz w:val="21"/>
                  <w:u w:val="none"/>
                </w:rPr>
                <w:t xml:space="preserve">http://jszfcg.jsczt.cn/</w:t>
              </w:r>
            </w:hyperlink>
            <w:r>
              <w:rPr>
                <w:rFonts w:ascii="SimSun" w:hAnsi="SimSun" w:eastAsia="SimSun" w:cs="SimSun"/>
                <w:color w:val="000000"/>
                <w:sz w:val="21"/>
              </w:rPr>
              <w:t xml:space="preserve">）</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本项目为不见面磋商项目，开启阶段供应商在【供应商解密】环节必须使用CA证书解密电子响应文件，如在系统规定的解密时间内未能完成解密的视为放弃参与本项目。</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8"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评审时间</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评审地点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6"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2026-6-22  13:30 </w:t>
            </w:r>
            <w:r>
              <w:rPr>
                <w:rFonts w:ascii="SimSun" w:hAnsi="SimSun" w:eastAsia="SimSun" w:cs="SimSun"/>
                <w:color w:val="000000"/>
                <w:sz w:val="21"/>
              </w:rPr>
              <w:t xml:space="preserve">（北京时间）</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“苏采云”系统（网址：</w:t>
            </w:r>
            <w:hyperlink r:id="rId16" w:tooltip="http://jszfcg.jsczt.cn/" w:history="1">
              <w:r>
                <w:rPr>
                  <w:rStyle w:val="1004"/>
                  <w:rFonts w:ascii="SimSun" w:hAnsi="SimSun" w:eastAsia="SimSun" w:cs="SimSun"/>
                  <w:color w:val="0000ee"/>
                  <w:sz w:val="21"/>
                  <w:u w:val="none"/>
                </w:rPr>
                <w:t xml:space="preserve">http://jszfcg.jsczt.cn/</w:t>
              </w:r>
            </w:hyperlink>
            <w:r>
              <w:rPr>
                <w:rFonts w:ascii="SimSun" w:hAnsi="SimSun" w:eastAsia="SimSun" w:cs="SimSun"/>
                <w:color w:val="000000"/>
                <w:sz w:val="21"/>
              </w:rPr>
              <w:t xml:space="preserve">）</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8"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磋商响应</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文件份数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6"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本项目采用电子响应文件，供应商按照采购文件要求制作上传电子响应文件，供应商无需提供纸质响应文件。</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8"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报价本位币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6"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人民币</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8"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履约保证金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6"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8"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成交通知书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6" w:type="dxa"/>
            <w:vAlign w:val="center"/>
            <w:textDirection w:val="lrTb"/>
            <w:noWrap w:val="false"/>
          </w:tcPr>
          <w:p>
            <w:pPr>
              <w:ind w:left="0" w:right="0" w:firstLine="0"/>
              <w:spacing w:before="200" w:after="200" w:line="360" w:lineRule="auto"/>
              <w:rPr>
                <w:rFonts w:ascii="SimSun" w:hAnsi="SimSun" w:eastAsia="SimSun" w:cs="SimSun"/>
                <w:color w:val="000000"/>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确定出成交单位后，采购代理机构在法定时间内向成交单位发出成交通知书。成交通知书将成为合同的组成部分。</w:t>
            </w:r>
            <w:r>
              <w:rPr>
                <w:rFonts w:ascii="SimSun" w:hAnsi="SimSun" w:eastAsia="SimSun" w:cs="SimSun"/>
                <w:color w:val="000000"/>
                <w:sz w:val="21"/>
                <w:szCs w:val="21"/>
              </w:rPr>
            </w:r>
          </w:p>
          <w:p>
            <w:pPr>
              <w:ind w:left="0" w:right="0" w:firstLine="0"/>
              <w:spacing w:before="200" w:after="200" w:line="360" w:lineRule="auto"/>
              <w:rPr>
                <w:rFonts w:ascii="SimSun" w:hAnsi="SimSun" w:eastAsia="SimSun" w:cs="SimSun"/>
                <w:color w:val="000000"/>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r>
            <w:r>
              <w:rPr>
                <w:rFonts w:ascii="SimSun" w:hAnsi="SimSun" w:eastAsia="SimSun" w:cs="SimSun"/>
                <w:color w:val="000000"/>
                <w:sz w:val="21"/>
              </w:rPr>
              <w:t xml:space="preserve">请成交单位在成交结果公告届满之日起30日内,使用CA证书登录“苏采云”系统及时下载成交通知书。</w:t>
            </w:r>
            <w:r>
              <w:rPr>
                <w:rFonts w:ascii="SimSun" w:hAnsi="SimSun" w:eastAsia="SimSun" w:cs="SimSun"/>
                <w:color w:val="000000"/>
                <w:sz w:val="21"/>
                <w:szCs w:val="21"/>
              </w:rPr>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8"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导致废标</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6"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出现下列情形之一的，为废标：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（一）符合专业条件的供应商或者对采购文件作实质响应的供应商不足三家的；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（二）出现影响采购公正的违法、违规行为的；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（三）供应商的报价均超过了采购预算，采购人不能支付的；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（四）因重大变故，采购任务取消的。</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8"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投标无效因素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6"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（一）有下列情形之一的，视为供应商串通投标，其响应无效：</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1.不同供应商的响应文件由同一单位或者个人编制；</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2.不同供应商委托同一单位或者个人办理磋商事宜；</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3.不同供应商的响应文件载明的项目管理成员或者联系人员为同一人；</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4.不同供应商的响应文件异常一致或者报价呈规律性差异；</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（二）供应商存在下列情况之一的，响应无效:</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1.未按照采购文件的规定提交投标（响应）保证承诺书的；</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2.未按照采购文件规定要求签署、盖章或签章的；</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3.不具备采购文件中规定资格要求；</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4.响应文件含有采购人不能接受的附加条件的；</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5.不同供应商的电子响应文件制作机器码一致；</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6.法律、法规和采购文件规定的其他无效情形。</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952"/>
        <w:ind w:left="0" w:right="0" w:firstLine="0"/>
        <w:jc w:val="center"/>
        <w:spacing w:before="200" w:after="200" w:line="9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第一章 磋商邀请函</w:t>
      </w:r>
      <w:r/>
    </w:p>
    <w:tbl>
      <w:tblPr>
        <w:tblStyle w:val="99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4"/>
      </w:tblGrid>
      <w:tr>
        <w:trPr/>
        <w:tc>
          <w:tcPr>
            <w:shd w:val="clear" w:color="ffffff" w:fill="ffffff"/>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9354"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项目概况</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2026-2029年绿化养护监理服务 JSZC-320507-SZHJ-C2026-0007 采购项目的潜在供应商应在“苏采云”系统 获取采购文件，并于2026-06-22 13:30 （北京时间）前提交响应文件。</w:t>
            </w:r>
            <w:r/>
          </w:p>
        </w:tc>
      </w:tr>
    </w:tbl>
    <w:p>
      <w:pPr>
        <w:pStyle w:val="1139"/>
        <w:ind w:left="0" w:right="0" w:firstLine="422"/>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一、项目基本情况</w:t>
      </w:r>
      <w:r/>
    </w:p>
    <w:p>
      <w:pPr>
        <w:ind w:left="0" w:right="0" w:firstLine="420"/>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项目编号：JSZC-320507-SZHJ-C2026-0007 </w:t>
      </w:r>
      <w:r/>
    </w:p>
    <w:p>
      <w:pPr>
        <w:ind w:left="0" w:right="0" w:firstLine="420"/>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项目名称：2026-2029年绿化养护监理服务 </w:t>
      </w:r>
      <w:r/>
    </w:p>
    <w:p>
      <w:pPr>
        <w:ind w:left="0" w:right="0" w:firstLine="420"/>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采购方式：竞争性磋商 </w:t>
      </w:r>
      <w:r/>
    </w:p>
    <w:p>
      <w:pPr>
        <w:ind w:left="0" w:right="0" w:firstLine="420"/>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预算金额：148.000000万元 </w:t>
      </w:r>
      <w:r/>
    </w:p>
    <w:p>
      <w:pPr>
        <w:ind w:left="0" w:right="0" w:firstLine="420"/>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最高限价（如有）：148.000000万元  </w:t>
      </w:r>
      <w:r/>
    </w:p>
    <w:p>
      <w:pPr>
        <w:ind w:left="0" w:right="0" w:firstLine="420"/>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采购需求：2026-2029年绿化养护监理服务，具体详见采购文件。</w:t>
      </w:r>
      <w:r/>
    </w:p>
    <w:p>
      <w:pPr>
        <w:ind w:left="0" w:right="0" w:firstLine="420"/>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合同履行期限：自签订合同之日起3年。 </w:t>
      </w:r>
      <w:r/>
    </w:p>
    <w:p>
      <w:pPr>
        <w:ind w:left="0" w:right="0" w:firstLine="420"/>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本项目（是/否）接受联合体：否 </w:t>
      </w:r>
      <w:r/>
    </w:p>
    <w:p>
      <w:pPr>
        <w:pStyle w:val="1139"/>
        <w:ind w:left="0" w:right="0" w:firstLine="422"/>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二、申请人的资格要求：</w:t>
      </w:r>
      <w:r/>
    </w:p>
    <w:p>
      <w:pPr>
        <w:ind w:left="0" w:right="0" w:firstLine="420"/>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（一）满足《中华人民共和国政府采购法》第二十二条规定：</w:t>
      </w:r>
      <w:r/>
    </w:p>
    <w:p>
      <w:pPr>
        <w:ind w:left="0" w:right="0" w:firstLine="42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1.具有独立承担民事责任的能力证明；</w:t>
      </w:r>
      <w:r/>
    </w:p>
    <w:p>
      <w:pPr>
        <w:ind w:left="0" w:right="0" w:firstLine="42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2.具有良好的商业信誉和健全的财务会计制度；</w:t>
      </w:r>
      <w:r/>
    </w:p>
    <w:p>
      <w:pPr>
        <w:ind w:left="0" w:right="0" w:firstLine="42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3.具有履行合同所必需的设备和专业技术能力；</w:t>
      </w:r>
      <w:r/>
    </w:p>
    <w:p>
      <w:pPr>
        <w:ind w:left="0" w:right="0" w:firstLine="42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4.有依法缴纳税收和社会保障资金的良好记录；</w:t>
      </w:r>
      <w:r/>
    </w:p>
    <w:p>
      <w:pPr>
        <w:ind w:left="0" w:right="0" w:firstLine="42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5.参加政府采购活动前3年内，在经营活动中没有重大违法记录；</w:t>
      </w:r>
      <w:r/>
    </w:p>
    <w:p>
      <w:pPr>
        <w:ind w:left="0" w:right="0" w:firstLine="42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6.法律、行政法规规定的其他条件。</w:t>
      </w:r>
      <w:r/>
    </w:p>
    <w:p>
      <w:pPr>
        <w:ind w:left="0" w:right="0" w:firstLine="420"/>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（二）落实政府采购政策需满足的资格要求：</w:t>
      </w:r>
      <w:r/>
    </w:p>
    <w:p>
      <w:pPr>
        <w:ind w:left="0" w:right="0" w:firstLine="42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本项目专门面向中小企业，所属行业为其他未列明行业，供应商应为中小微企业、监狱企业、残疾人福利性单位。供应商应提供《中小企业声明函》或《残疾人福利性单位声明函》或省级以上监狱管理局、戒毒管理局（含新疆生产建设兵团）出具的属于监狱企业的证明文件。</w:t>
      </w:r>
      <w:r/>
    </w:p>
    <w:p>
      <w:pPr>
        <w:ind w:left="0" w:right="0" w:firstLine="420"/>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（三）本项目的特定资格要求：</w:t>
      </w:r>
      <w:r/>
    </w:p>
    <w:p>
      <w:pPr>
        <w:ind w:left="0" w:right="0" w:firstLine="42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1.响应单位具有市政公用工程监理乙级工程监理资质或工程监理综合资质。</w:t>
      </w:r>
      <w:r/>
    </w:p>
    <w:p>
      <w:pPr>
        <w:ind w:left="0" w:right="0" w:firstLine="42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2.未被“信用中国”网站（www.creditchina.gov.cn）列入失信被执行人、重大税收违法案件当事人名单、政府采购严重失信行为记录名单。</w:t>
      </w:r>
      <w:r/>
    </w:p>
    <w:p>
      <w:pPr>
        <w:pStyle w:val="1139"/>
        <w:ind w:left="0" w:right="0" w:firstLine="422"/>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三、获取采购文件</w:t>
      </w:r>
      <w:r/>
    </w:p>
    <w:p>
      <w:pPr>
        <w:ind w:left="0" w:right="0" w:firstLine="420"/>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时间：自磋商文件公告发布之日起5个工作日 </w:t>
      </w:r>
      <w:r/>
    </w:p>
    <w:p>
      <w:pPr>
        <w:ind w:left="0" w:right="0" w:firstLine="420"/>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地点：“苏采云”系统 </w:t>
      </w:r>
      <w:r/>
    </w:p>
    <w:p>
      <w:pPr>
        <w:ind w:left="0" w:right="0" w:firstLine="420"/>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方式：自行下载 </w:t>
      </w:r>
      <w:r/>
    </w:p>
    <w:p>
      <w:pPr>
        <w:ind w:left="0" w:right="0" w:firstLine="420"/>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售价：0.00元 </w:t>
      </w:r>
      <w:r/>
    </w:p>
    <w:p>
      <w:pPr>
        <w:pStyle w:val="1139"/>
        <w:ind w:left="0" w:right="0" w:firstLine="422"/>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四、响应文件提交</w:t>
      </w:r>
      <w:r/>
    </w:p>
    <w:p>
      <w:pPr>
        <w:ind w:left="0" w:right="0" w:firstLine="420"/>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截止时间：2026-06-22 13:30 （北京时间）</w:t>
      </w:r>
      <w:r/>
    </w:p>
    <w:p>
      <w:pPr>
        <w:ind w:left="0" w:right="0" w:firstLine="420"/>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地点：“苏采云”系统 </w:t>
      </w:r>
      <w:r/>
    </w:p>
    <w:p>
      <w:pPr>
        <w:pStyle w:val="1139"/>
        <w:ind w:left="0" w:right="0" w:firstLine="422"/>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五、开启</w:t>
      </w:r>
      <w:r/>
    </w:p>
    <w:p>
      <w:pPr>
        <w:ind w:left="0" w:right="0" w:firstLine="420"/>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时间：2026-06-22 13:30 （北京时间）</w:t>
      </w:r>
      <w:r/>
    </w:p>
    <w:p>
      <w:pPr>
        <w:ind w:left="0" w:right="0" w:firstLine="420"/>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地点：苏州市市辖区政府采购不见面虚拟开标室 </w:t>
      </w:r>
      <w:r/>
    </w:p>
    <w:p>
      <w:pPr>
        <w:pStyle w:val="1139"/>
        <w:ind w:left="0" w:right="0" w:firstLine="422"/>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六、公告期限</w:t>
      </w:r>
      <w:r/>
    </w:p>
    <w:p>
      <w:pPr>
        <w:ind w:left="0" w:right="0" w:firstLine="420"/>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自本公告发布之日起3个工作日。</w:t>
      </w:r>
      <w:r/>
    </w:p>
    <w:p>
      <w:pPr>
        <w:pStyle w:val="1139"/>
        <w:ind w:left="0" w:right="0" w:firstLine="422"/>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七、其他补充事宜</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1.政府采购监督管理部门监督电话：0512-67591005、0512-67591006。</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2.本次采购的有关信息将在中国政府采购网、江苏政府采购网、苏州市政府采购网上发布，敬请留意。</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3.采购文件的获取方式：</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（1）CA证书办理</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咨询电话：0512-65737699。</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（2）参与采购活动</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（3）电子投标准备</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在系统操作过程中如有疑问，请按以下方式联系：</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注册咨询：13914088964；</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CA技术咨询电话：400-608-6099；</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签章使用问题：025-83633811、025-83633812、15380932027、15371015030；</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系统使用指导与咨询：联系电话：13914088964；智能客服：登录苏采云系统后，联系系统右下方智能客服图标进行咨询。本项目获取采购文件截止日期之后仍可以下载采购文件，但截止日期之后下载的采购文件，视为非有效方式且不作为供应商权益受到损害的证明材料和依据。</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4.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ascii="SimSun" w:hAnsi="SimSun" w:eastAsia="SimSun" w:cs="SimSun"/>
          <w:b/>
          <w:color w:val="000000"/>
          <w:sz w:val="21"/>
          <w:highlight w:val="white"/>
        </w:rPr>
        <w:t xml:space="preserve">供应商应充分考虑到网络环境、网络带宽等风险因素，如因供应商自身原因造成的电子响应文件上传不成功由供应商自行承担全部责任。</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5.线上参加开标（开启）会方式：供应商登录“苏采云”系统在平台首页点击“开标大厅”，进入江苏省政府采购一体化不见面开标（采购）大厅，在今日项目列表，点击项目，进入不见面开标系统。</w:t>
      </w:r>
      <w:r>
        <w:rPr>
          <w:rFonts w:ascii="SimSun" w:hAnsi="SimSun" w:eastAsia="SimSun" w:cs="SimSun"/>
          <w:b/>
          <w:color w:val="000000"/>
          <w:sz w:val="21"/>
          <w:highlight w:val="white"/>
        </w:rPr>
        <w:t xml:space="preserve">本项目为不见面磋商项目，开启阶段供应商在【供应商解密】环节必须使用 CA证书解密电子响应文件，如在系统规定的解密时间内未能完成解密的视为放弃参与本项目。请供应商确保电脑、系统及其他设备（视频输入输出设备等）无误，且开启直至项目结束始终保持系统在线状态。</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6.本项目获取采购文件截止日期之后仍可以下载采购文件，但截止日期之后下载的采购文件，视为非有效方式且不作为供应商权益受到损害的证明材料和依据。</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7.根据苏州市财政局《关于深入开展苏州市政府采购合同信用融资业务的通知》相关要求，本项目支持政府采购合同信用融资。</w:t>
      </w:r>
      <w:r/>
    </w:p>
    <w:p>
      <w:pPr>
        <w:pStyle w:val="1139"/>
        <w:ind w:left="0" w:right="0" w:firstLine="422"/>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八、凡对本次采购提出询问，请按以下方式联系。</w:t>
      </w:r>
      <w:r/>
    </w:p>
    <w:p>
      <w:pPr>
        <w:ind w:left="0" w:right="0" w:firstLine="420"/>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1.采购人信息</w:t>
      </w:r>
      <w:r/>
    </w:p>
    <w:p>
      <w:pPr>
        <w:ind w:left="0" w:right="0" w:firstLine="42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单位名称：苏州市相城区园林绿化建设管理中心</w:t>
      </w:r>
      <w:r/>
    </w:p>
    <w:p>
      <w:pPr>
        <w:ind w:left="0" w:right="0" w:firstLine="42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单位地址：苏州市相城区阳澄湖东路 8 号</w:t>
      </w:r>
      <w:r/>
    </w:p>
    <w:p>
      <w:pPr>
        <w:ind w:left="0" w:right="0" w:firstLine="42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联系人：胡延东</w:t>
      </w:r>
      <w:r/>
    </w:p>
    <w:p>
      <w:pPr>
        <w:ind w:left="0" w:right="0" w:firstLine="42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联系电话：0512-85181343</w:t>
      </w:r>
      <w:r/>
    </w:p>
    <w:p>
      <w:pPr>
        <w:ind w:left="0" w:right="0" w:firstLine="420"/>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2.采购代理机构信息（如有）</w:t>
      </w:r>
      <w:r/>
    </w:p>
    <w:p>
      <w:pPr>
        <w:ind w:left="0" w:right="0" w:firstLine="42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单位名称：江苏鸿渐投资咨询管理有限公司</w:t>
      </w:r>
      <w:r/>
    </w:p>
    <w:p>
      <w:pPr>
        <w:ind w:left="0" w:right="0" w:firstLine="42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单位地址：苏州市相城区中翔大厦25楼</w:t>
      </w:r>
      <w:r/>
    </w:p>
    <w:p>
      <w:pPr>
        <w:ind w:left="0" w:right="0" w:firstLine="42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联系人：葛思陇、魏瑜伽</w:t>
      </w:r>
      <w:r/>
    </w:p>
    <w:p>
      <w:pPr>
        <w:ind w:left="0" w:right="0" w:firstLine="42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联系电话：0512-87770870</w:t>
      </w:r>
      <w:r/>
    </w:p>
    <w:p>
      <w:pPr>
        <w:ind w:left="0" w:right="0" w:firstLine="420"/>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3.项目联系方式</w:t>
      </w:r>
      <w:r/>
    </w:p>
    <w:p>
      <w:pPr>
        <w:ind w:left="0" w:right="0" w:firstLine="42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项目联系人：葛思陇、魏瑜伽</w:t>
      </w:r>
      <w:r/>
    </w:p>
    <w:p>
      <w:pPr>
        <w:ind w:left="0" w:right="0" w:firstLine="42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电话：0512-87770870</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p>
    <w:p>
      <w:pPr>
        <w:ind w:left="0" w:right="0" w:firstLine="0"/>
        <w:spacing w:before="0" w:after="0" w:line="360" w:lineRule="auto"/>
        <w:shd w:val="clear" w:color="ffffff" w:fill="ffffff"/>
        <w:pBdr>
          <w:top w:val="none" w:color="000000" w:sz="4" w:space="0"/>
          <w:left w:val="none" w:color="000000" w:sz="4" w:space="0"/>
          <w:bottom w:val="none" w:color="000000" w:sz="4" w:space="0"/>
          <w:right w:val="none" w:color="000000" w:sz="4" w:space="0"/>
        </w:pBdr>
      </w:pPr>
      <w:r>
        <w:br w:type="page" w:clear="all"/>
      </w:r>
      <w:r/>
    </w:p>
    <w:p>
      <w:pPr>
        <w:pStyle w:val="952"/>
        <w:ind w:left="0" w:right="0" w:firstLine="0"/>
        <w:jc w:val="center"/>
        <w:spacing w:before="200" w:after="20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第二章 磋商须知</w:t>
      </w:r>
      <w:r/>
    </w:p>
    <w:p>
      <w:pPr>
        <w:ind w:left="0" w:right="0" w:firstLine="42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一、响应文件的组成及要求（具体按照“苏采云”系统填报）</w:t>
      </w:r>
      <w:r/>
    </w:p>
    <w:p>
      <w:pPr>
        <w:ind w:left="0" w:right="0" w:firstLine="42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1.封面</w:t>
      </w:r>
      <w:r/>
    </w:p>
    <w:p>
      <w:pPr>
        <w:ind w:left="0" w:right="0" w:firstLine="42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2.开标一览表</w:t>
      </w:r>
      <w:r/>
    </w:p>
    <w:p>
      <w:pPr>
        <w:ind w:left="0" w:right="0" w:firstLine="42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3.响应报价明细表</w:t>
      </w:r>
      <w:r/>
    </w:p>
    <w:p>
      <w:pPr>
        <w:ind w:left="0" w:right="0" w:firstLine="42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4.资格审查响应文件</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4.1具有独立承担民事责任的能力证明。包括法人或者其他组织的营业执照等证明文件，自然人的身份证明；</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4.2具有良好的商业信誉和健全的财务会计制度证明</w:t>
      </w:r>
      <w:r>
        <w:rPr>
          <w:rFonts w:ascii="SimSun" w:hAnsi="SimSun" w:eastAsia="SimSun" w:cs="SimSun"/>
          <w:b/>
          <w:color w:val="000000"/>
          <w:sz w:val="21"/>
        </w:rPr>
        <w:t xml:space="preserve">（法人应提供最近一期经审计的财务报告，其他组织、自然人及成立未满一年的法人应提供银行出具的资信证明）</w:t>
      </w:r>
      <w:r>
        <w:rPr>
          <w:rFonts w:ascii="SimSun" w:hAnsi="SimSun" w:eastAsia="SimSun" w:cs="SimSun"/>
          <w:color w:val="000000"/>
          <w:sz w:val="21"/>
        </w:rPr>
        <w:t xml:space="preserve">；</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4.3具有履行合同所必需的设备和专业技术能力的证明材料；</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4.4有依法缴纳税收和社会保障资金的良好记录</w:t>
      </w:r>
      <w:r>
        <w:rPr>
          <w:rFonts w:ascii="SimSun" w:hAnsi="SimSun" w:eastAsia="SimSun" w:cs="SimSun"/>
          <w:b/>
          <w:color w:val="000000"/>
          <w:sz w:val="21"/>
        </w:rPr>
        <w:t xml:space="preserve">（响应单位应提供提交投标文件截止时间前最近任意一期依法缴纳税收及缴纳社会保障资金的证明材料，如相关主管部门证明或银行代扣证明。投标人如依法享受缓缴、免缴税收、社会保障资金的应提供相关主管部门出具的证明材料）</w:t>
      </w:r>
      <w:r>
        <w:rPr>
          <w:rFonts w:ascii="SimSun" w:hAnsi="SimSun" w:eastAsia="SimSun" w:cs="SimSun"/>
          <w:color w:val="000000"/>
          <w:sz w:val="21"/>
        </w:rPr>
        <w:t xml:space="preserve">；</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4.5参加政府采购活动前三年内，在经营活动中没有重大违法记录的书面声明函；</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4.6《中小企业声明函》或《残疾人福利性单位声明函》或由省级以上监狱管理局、戒毒管理局（含新疆生产建设兵团）出具的属于监狱企业的证明文件；</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4.7响应单位具有市政公用工程监理乙级工程监理资质或工程监理综合资质；</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4.8未被“信用中国”网站（www.creditchina.gov.cn）列入失信被执行人、重大税收违法案件当事人名单、政府采购严重失信行为记录名单；</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4.9法律、行政法规规定的其他条件：</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4.9.1关于资格文件声明函；</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4.9.2响应单位情况表；</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4.9.3响应单位法定代表人身份证复印件；</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4.9.4法定代表人授权委托书（如有授权）；</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4.9.5响应单位授权代理人身份证复印件（如有授权）；</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4.9.6其它有关资格证明的文件（如有）；</w:t>
      </w:r>
      <w:r/>
    </w:p>
    <w:p>
      <w:pPr>
        <w:ind w:left="0" w:right="0" w:firstLine="42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5.符合性审查响应文件</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5.1磋商响应函；</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5.2投标（响应）保证承诺书；</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5.3《商务条款偏离表》；</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5.4《服务要求偏离表》；</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5.5其他有关符合性证明的文件（如有）；</w:t>
      </w:r>
      <w:r/>
    </w:p>
    <w:p>
      <w:pPr>
        <w:ind w:left="0" w:right="0" w:firstLine="42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6.综合评审响应文件</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6.1针对本项目的服务方案；</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6.2拟投入项目人员配置表；</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6.3类似项目业绩表；</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6.4采购需求及评分标准中所涉及到的其他材料等（如有）；</w:t>
      </w:r>
      <w:r/>
    </w:p>
    <w:p>
      <w:pPr>
        <w:ind w:left="0" w:right="0" w:firstLine="42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注：（1）以上4.1-4.9为资格审查要求提供的材料，是作为对供应商资格审查、质疑身份认定的依据，响应供应商必须提供并加盖电子公章。否则，磋商响应文件将被认定为不符合资格审查要求。</w:t>
      </w:r>
      <w:r/>
    </w:p>
    <w:p>
      <w:pPr>
        <w:ind w:left="0" w:right="0" w:firstLine="843"/>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（2）以上5.1-5.5为符合性审查须提供的资料，响应供应商必须提供并加盖电子公章。否则，磋商响应文件将被认定为未实质性响应。</w:t>
      </w:r>
      <w:r/>
    </w:p>
    <w:p>
      <w:pPr>
        <w:ind w:left="0" w:right="0" w:firstLine="843"/>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（3）制作电子响应文件时必须与响应文件制作软件目录一一对应，将相关资料上传至相应模块。</w:t>
      </w:r>
      <w:r/>
    </w:p>
    <w:p>
      <w:pPr>
        <w:ind w:left="0" w:right="0" w:firstLine="843"/>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（4）磋商响应文件编制要求：</w:t>
      </w:r>
      <w:r>
        <w:rPr>
          <w:rFonts w:ascii="SimSun" w:hAnsi="SimSun" w:eastAsia="SimSun" w:cs="SimSun"/>
          <w:color w:val="000000"/>
          <w:sz w:val="21"/>
        </w:rPr>
        <w:t xml:space="preserve">本项目采用电子招投标形式，请供应商按照《苏采云系统供应商操作手册》进行制作、上传电子响应文件。</w:t>
      </w:r>
      <w:r>
        <w:rPr>
          <w:rFonts w:ascii="SimSun" w:hAnsi="SimSun" w:eastAsia="SimSun" w:cs="SimSun"/>
          <w:b/>
          <w:color w:val="000000"/>
          <w:sz w:val="21"/>
        </w:rPr>
        <w:t xml:space="preserve">电子响应文件制作完成后请于响应文件递交截止时间前成功上传至“苏采云”系统，否则视为放弃参加该采购项目。</w:t>
      </w:r>
      <w:r>
        <w:rPr>
          <w:rFonts w:ascii="SimSun" w:hAnsi="SimSun" w:eastAsia="SimSun" w:cs="SimSun"/>
          <w:color w:val="000000"/>
          <w:sz w:val="21"/>
        </w:rPr>
        <w:t xml:space="preserve">供应商应充分考虑到网络环境、网络带宽等风险因素，如因供应商自身原因造成的电子响应文件上传不成功由供应商自行承担全部责任。</w:t>
      </w:r>
      <w:r/>
    </w:p>
    <w:p>
      <w:pPr>
        <w:ind w:left="0" w:right="0" w:firstLine="843"/>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（5）磋商过程中如有问题采购代理机构工作人员会及时通过《投标供应商确认函》留存的手机号与供应商联系。请供应商确保该手机号磋商当日通讯畅通，否则导致的对供应商不利的后果由供应商自行承担。</w:t>
      </w:r>
      <w:r/>
    </w:p>
    <w:p>
      <w:pPr>
        <w:ind w:left="0" w:right="0" w:firstLine="42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二、磋商程序</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1.采购代理机构按本须知规定的时间、地点主持磋商采购活动。</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2.供应商通过“苏采云”系统在线参与磋商活动。供应商应当按照《苏采云系统供应商操作手册》规定在 “苏采云”系统规定的时间内对响应文件进行解密。</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3.在磋商响应文件网上递交截止时间止成功解密的磋商供应商少于三家，则本次采购失败。</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4.由磋商小组审查供应商解密的响应文件。</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6.磋商小组要求供应商澄清、说明或者更正响应文件应当以书面形式做出。供应商的澄清、说明或者更正应当由其单位加盖电子公章。</w:t>
      </w:r>
      <w:r/>
    </w:p>
    <w:p>
      <w:pPr>
        <w:ind w:left="0" w:right="0" w:firstLine="42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7.对于通过资格审查和符合性审查的供应商，磋商小组所有成员集中与单一供应商分别进行磋商，并给予所有参加磋商的供应商平等的磋商机会。</w:t>
      </w:r>
      <w:r>
        <w:rPr>
          <w:rFonts w:ascii="SimSun" w:hAnsi="SimSun" w:eastAsia="SimSun" w:cs="SimSun"/>
          <w:b/>
          <w:color w:val="000000"/>
          <w:sz w:val="21"/>
        </w:rPr>
        <w:t xml:space="preserve">磋商小组通过“苏采云”系统向供应商发布“磋商响应函”，供应商应当按照要求在“苏采云”系统提交“磋商响应函”并加盖CA电子公章。</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ind w:left="0" w:right="0" w:firstLine="42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9.磋商结束后，磋商小组将在“苏采云”系统向所有实质性响应的供应商发布“最后报价要求函”及最后报价格式表，要求所有实质性响应的供应商在规定时间内提交最后报价。</w:t>
      </w:r>
      <w:r/>
    </w:p>
    <w:p>
      <w:pPr>
        <w:ind w:left="0" w:right="0" w:firstLine="42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供应商未在磋商小组规定的时间内在“苏采云”系统中提交最后报价的视为放弃磋商，其响应文件按无效响应处理，最后报价格式表须加盖公章,否则视为未提交最后报价。（此处规定时间的计算以系统中的倒计时间为准，系统中的线上最后报价只有一次机会，提交后无法撤回，请供应商慎重提交）</w:t>
      </w:r>
      <w:r/>
    </w:p>
    <w:p>
      <w:pPr>
        <w:ind w:left="0" w:right="0" w:firstLine="42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已提交响应文件的供应商，在提交最后报价之前，可以根据磋商情况退出磋商，并在“苏采云”系统中提交“退出磋商函”并加盖公章。</w:t>
      </w:r>
      <w:r/>
    </w:p>
    <w:p>
      <w:pPr>
        <w:ind w:left="0" w:right="0" w:firstLine="42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*进入项目评审流程后，建议各响应单位法定代表人或代理人始终保持通讯顺畅，时刻关注不见面开标大厅，不离开不见面开标大厅。</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11.经磋商确定最终采购需求和提交最后报价的供应商后，由磋商小组采用综合评分法对提交最后报价的供应商的响应文件和最后报价进行综合评分。</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12.磋商小组根据磋商成交原则确定成交供应商，并将结果通知所有参加磋商的供应商。</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13.如磋商过程中出现本采购文件未尽事宜，由磋商小组根据政府采购有关法律、法规讨论决定。</w:t>
      </w:r>
      <w:r/>
    </w:p>
    <w:p>
      <w:pPr>
        <w:ind w:left="0" w:right="0" w:firstLine="42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三、质疑处理</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ind w:left="0" w:right="0" w:firstLine="42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2.本次采购文件要求供应商在法定质疑期内一次性提出针对同一采购程序环节的质疑,否则不予受理。</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3.供应商提出质疑应当提交质疑函和必要的证明材料，质疑函应当包括下列内容：</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（1）供应商的姓名或者名称（以提供的营业执照副本复印件为准）、地址、邮编、联系人及联系电话；</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（2）质疑项目的名称、编号；</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（3）具体、明确的质疑事项和与质疑事项相关的请求；</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（4）事实依据；</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（5）必要的法律依据；</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（6）提出质疑的日期。</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供应商为自然人的，应当由本人签字；供应商为法人或者其他组织的，应当由法定代表人、主要负责人，或者其授权代表签字或者盖章，并加盖公章。供应商委托代理进行质疑的，其</w:t>
      </w:r>
      <w:r>
        <w:rPr>
          <w:rFonts w:ascii="SimSun" w:hAnsi="SimSun" w:eastAsia="SimSun" w:cs="SimSun"/>
          <w:b/>
          <w:color w:val="000000"/>
          <w:sz w:val="21"/>
        </w:rPr>
        <w:t xml:space="preserve">授权委托书</w:t>
      </w:r>
      <w:r>
        <w:rPr>
          <w:rFonts w:ascii="SimSun" w:hAnsi="SimSun" w:eastAsia="SimSun" w:cs="SimSun"/>
          <w:color w:val="000000"/>
          <w:sz w:val="21"/>
        </w:rPr>
        <w:t xml:space="preserve">上应当载明代理人的姓名或者名称、代理事项、具体权限、期限和相关事项。</w:t>
      </w:r>
      <w:r/>
    </w:p>
    <w:p>
      <w:pPr>
        <w:ind w:left="0" w:right="0" w:firstLine="42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供应商提交的质疑函必须按照《政府采购供应商质疑函范本》要求的格式和内容进行填写，质疑函范本下载网址详见链接：https://czju.suzhou.gov.cn/zfcg/html/content/20180305093615738.shtml</w:t>
      </w:r>
      <w:r>
        <w:rPr>
          <w:rFonts w:ascii="SimSun" w:hAnsi="SimSun" w:eastAsia="SimSun" w:cs="SimSun"/>
          <w:color w:val="000000"/>
          <w:sz w:val="21"/>
        </w:rPr>
        <w:t xml:space="preserve">。</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w:t>
      </w:r>
      <w:r>
        <w:rPr>
          <w:rFonts w:ascii="SimSun" w:hAnsi="SimSun" w:eastAsia="SimSun" w:cs="SimSun"/>
          <w:b/>
          <w:color w:val="000000"/>
          <w:sz w:val="21"/>
        </w:rPr>
        <w:t xml:space="preserve">《投标供应商确认函》</w:t>
      </w:r>
      <w:r>
        <w:rPr>
          <w:rFonts w:ascii="SimSun" w:hAnsi="SimSun" w:eastAsia="SimSun" w:cs="SimSun"/>
          <w:color w:val="000000"/>
          <w:sz w:val="21"/>
        </w:rPr>
        <w:t xml:space="preserve">）与质疑函一起递交，否则不予受理。</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5.接收质疑函的方式：书面形式（当场送达或邮寄方式）</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质疑联系人：葛思陇、魏瑜伽</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联系电话：0512-87770870</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现场递交地址:苏州市相城大道666号中翔大厦25楼 </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邮寄收取地址:苏州市相城大道666号中翔大厦25楼 </w:t>
      </w:r>
      <w:r/>
    </w:p>
    <w:p>
      <w:pPr>
        <w:ind w:left="0" w:right="0" w:firstLine="42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四、响应无效条款</w:t>
      </w:r>
      <w:r/>
    </w:p>
    <w:p>
      <w:pPr>
        <w:ind w:left="0" w:right="0" w:firstLine="42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1.供应商存在下列情况之一的，响应无效:</w:t>
      </w:r>
      <w:r/>
    </w:p>
    <w:p>
      <w:pPr>
        <w:ind w:left="0" w:right="0" w:firstLine="42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（1）未按照采购文件的规定提交投标（响应）保证承诺书的；</w:t>
      </w:r>
      <w:r/>
    </w:p>
    <w:p>
      <w:pPr>
        <w:ind w:left="0" w:right="0" w:firstLine="42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（2）未按照采购文件规定要求签署、盖章或签章的；</w:t>
      </w:r>
      <w:r/>
    </w:p>
    <w:p>
      <w:pPr>
        <w:ind w:left="0" w:right="0" w:firstLine="42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（3）不具备采购文件中规定资格要求；</w:t>
      </w:r>
      <w:r/>
    </w:p>
    <w:p>
      <w:pPr>
        <w:ind w:left="0" w:right="0" w:firstLine="42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（4）响应文件含有采购人不能接受的附加条件的；</w:t>
      </w:r>
      <w:r/>
    </w:p>
    <w:p>
      <w:pPr>
        <w:ind w:left="0" w:right="0" w:firstLine="42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（5）不同供应商的电子投标文件制作机器码一致；</w:t>
      </w:r>
      <w:r/>
    </w:p>
    <w:p>
      <w:pPr>
        <w:ind w:left="0" w:right="0" w:firstLine="42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（6）法律、法规和采购文件规定的其他无效情形；</w:t>
      </w:r>
      <w:r/>
    </w:p>
    <w:p>
      <w:pPr>
        <w:ind w:left="0" w:right="0" w:firstLine="42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2.供应商应当遵循公平竞争的原则，不得恶意串通，不得妨碍其他供应商的竞争行为，不得损害采购人或者其他供应商的合法权益。</w:t>
      </w:r>
      <w:r/>
    </w:p>
    <w:p>
      <w:pPr>
        <w:ind w:left="0" w:right="0" w:firstLine="42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磋商在过程中发现供应商有上述情形的，磋商小组应当认定其响应无效，并书面报告本级财政部门。</w:t>
      </w:r>
      <w:r/>
    </w:p>
    <w:p>
      <w:pPr>
        <w:ind w:left="0" w:right="0" w:firstLine="42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3.有下列情形之一的，视为供应商恶意串通，其响应无效：</w:t>
      </w:r>
      <w:r/>
    </w:p>
    <w:p>
      <w:pPr>
        <w:ind w:left="0" w:right="0" w:firstLine="42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（1）不同供应商的响应文件由同一单位或者个人编制；</w:t>
      </w:r>
      <w:r/>
    </w:p>
    <w:p>
      <w:pPr>
        <w:ind w:left="0" w:right="0" w:firstLine="42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（2）不同供应商委托同一单位或者个人办理磋商事宜；</w:t>
      </w:r>
      <w:r/>
    </w:p>
    <w:p>
      <w:pPr>
        <w:ind w:left="0" w:right="0" w:firstLine="42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（3）不同供应商的响应文件载明的项目管理成员或者联系人员为同一人；</w:t>
      </w:r>
      <w:r/>
    </w:p>
    <w:p>
      <w:pPr>
        <w:ind w:left="0" w:right="0" w:firstLine="42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（4）不同供应商的响应文件异常一致或者报价呈规律性差异；</w:t>
      </w:r>
      <w:r/>
    </w:p>
    <w:p>
      <w:pPr>
        <w:ind w:left="0" w:right="0" w:firstLine="42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五、磋商文件的澄清和修改</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公告形式通知所有获取磋商文件的供应商；不足5日的，采购人、采购代理机构应当顺延提交首次响应文件截止时间。</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2.磋商文件的澄清、修改等内容与竞争性磋商文件在同一内容的表述上不一致时，以发出日期最接近磋商时间的公告为准。</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3.磋商文件的澄清、修改等内容均将在财政部门指定的政府采购信息发布媒体上发布，作为磋商文件的组成部分，对供应商起约束作用。</w:t>
      </w:r>
      <w:r/>
    </w:p>
    <w:p>
      <w:pPr>
        <w:ind w:left="0" w:right="0" w:firstLine="42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六、异常低价响应审查：</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1.评审过程中出现下列情形之一的，磋商小组应当启动异常低价响应审查程序：</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（1）响应报价低于全部通过符合性审查供应商响应报价平均值50%的，即响应报价&lt;全部通过符合性审查供应商响应报价平均值×50%；</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（2）响应报价低于通过符合性审查的次低报价供应商响应报价50%的，即响应报价&lt;通过符合性审查的次低报价供应商响应报价×50%；</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（3）响应报价低于采购项目最高限价45%的，即响应报价&lt;采购项目最高限价×45%；</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（4）磋商小组基于专业判断，认为供应商报价过低，有可能影响产品质量或者不能诚信履约的其他情形。</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启动异常低价响应审查后，磋商小组应当要求相关供应商在评审现场合理的时间内对响应价格作出解释，提供项目具体成本测算等与报价合理性相关的书面说明及相关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磋商小组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异常低价响应审查的启动原因、审查意见和审查结果应当在评审报告中记录，并随供应商提供的相关书面说明及证明材料，以及磋商小组有关互联网浏览、查询历史一并归档。</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注：异常低价审查有关要求，均以财政部发布的《关于推动解决政府采购异常低价问题的通知》（ 财库〔2026〕2号）为准。</w:t>
      </w:r>
      <w:r/>
    </w:p>
    <w:p>
      <w:pPr>
        <w:ind w:left="0" w:right="0" w:firstLine="42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七、响应文件计量单位和使用文字</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1.响应文件中所使用的计量单位，除竞争性磋商文件中有特殊要求外，均应使用中华人民共和国法定计量单位。</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2.响应文件应使用中文编制，响应文件中使用其他文字的，必须附有中文译本，且以中文译本为准。对于未附有中文译本和中文译本不准确的响应文件可能引起的对供应商不利的后果，采购人概不负责。</w:t>
      </w:r>
      <w:r/>
    </w:p>
    <w:p>
      <w:pPr>
        <w:ind w:left="0" w:right="0" w:firstLine="42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八、项目的终止</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出现下列情形之一的，将终止竞争性磋商采购活动：</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1.因情况变化，不再符合规定的竞争性磋商采购方式适用情形的；</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2.出现影响采购公正的违法、违规行为的；</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3.在采购活动中因重大变故，采购任务取消的。</w:t>
      </w:r>
      <w:r/>
    </w:p>
    <w:p>
      <w:pPr>
        <w:ind w:left="0" w:right="0" w:firstLine="42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九、评审内容的保密</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1.磋商开始后，直到宣布授予成交供应商合同为止，凡属于审查、澄清、评价和比较磋商响应文件的所有资料，有关授予合同的信息都不应向磋商供应商或与评审无关的其他人泄露。</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2.在磋商响应文件的审查、澄清、评价和比较以及授予合同的过程中，磋商供应商对采购人和磋商小组施加影响的任何行为，都将取消其成交资格。</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3.在评审期间，采购人将通过指定联络人与磋商供应商进行联系。</w:t>
      </w:r>
      <w:r/>
    </w:p>
    <w:p>
      <w:pPr>
        <w:ind w:left="0" w:right="0" w:firstLine="42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十、成交单位的确认</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1.磋商小组根据磋商供应商资格审查情况，对其响应文件进行评价和比较，按照评审办法和标准进行评审，由采购人授权评审委员会在候选供应商名单中直接确定成交供应商。</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经磋商小组评审并确定成交单位后，采购单位将在规定的时间内将成交结果在相关媒体上予以公告。各参加磋商供应商如对公告结果有异议，应在成交结果公告期满后七个工作日内，以书面形式向采购单位提出质疑，同时该质疑应有磋商供应商法定代表人或参加磋商的代理人签署。采购单位将在收到经磋商供应商法定代表人或参加响应供应商的代理人签署的书面质疑后七个工作日内，对质疑内容作出答复。如磋商供应商未在成交结果公告期满后七个工作日内向磋商采购单位提出质疑或质疑未经磋商供应商法定代表人或参加磋商的代理人签署，采购单位有权对该质疑不予答</w:t>
      </w:r>
      <w:r>
        <w:rPr>
          <w:rFonts w:ascii="SimSun" w:hAnsi="SimSun" w:eastAsia="SimSun" w:cs="SimSun"/>
          <w:color w:val="000000"/>
          <w:sz w:val="21"/>
        </w:rPr>
        <w:t xml:space="preserve">复。</w:t>
      </w:r>
      <w:r/>
    </w:p>
    <w:p>
      <w:pPr>
        <w:ind w:left="0" w:right="0" w:firstLine="42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十一、成交通知书</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1.确定出成交单位后，采购代理机构在法定时间内向成交单位发出成交通知书。成交通知书将成为合同的组成部分。</w:t>
      </w:r>
      <w:r/>
    </w:p>
    <w:p>
      <w:pPr>
        <w:ind w:left="0" w:right="0" w:firstLine="42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请成交单位在成交结果公告届满之日起30日内,使用CA证书登录“苏采云”系统及时下载成交通知书。</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2.采购单位对未成交单位不承担解释未成交原因的义务。</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3.成交单位应按成交通知书中规定的时间和地点，由法定代表人或代理人与甲方代表签订合同。否则按放弃处理。</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4.签订合同及合同条款应以采购文件和成交单位的磋商响应文件及其澄清文件为依据。</w:t>
      </w:r>
      <w:r/>
    </w:p>
    <w:p>
      <w:pPr>
        <w:ind w:left="0" w:right="0" w:firstLine="42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十二、合同授予标准</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采购单位将把合同授予其磋商响应文件在实质上响应采购文件要求和按本须知规定评选出的供应商。确定为成交的供应商必须具有实施本合同的能力和资源。</w:t>
      </w:r>
      <w:r/>
    </w:p>
    <w:p>
      <w:pPr>
        <w:ind w:left="0" w:right="0" w:firstLine="42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十三、综合说明及其它要求：</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1.磋商供应商需明确详细的服务方案。</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2.磋商供应商必须承诺文件中提出的全部要求，如果其中某些条款不响应时，应在文件中逐条列出，未列出的视同响应。</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3.磋商说明：</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（1）不符合供应商资格要求的响应文件将被认定为无效响应；</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（2）最终报价超过采购预算或最高限价的不能成交；</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（3）响应文件签署不符合要求的，响应文件将被拒绝；</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（4）实质性响应磋商文件不满三家或进入二次报价的不满三家或二次报价在采购预算内不满三家的，磋商采购失败。</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（5）不实质性响应采购文件的不能成交。</w:t>
      </w:r>
      <w:r/>
    </w:p>
    <w:p>
      <w:pPr>
        <w:ind w:left="0" w:right="0" w:firstLine="42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十四、政府采购政策</w:t>
      </w:r>
      <w:r>
        <w:rPr>
          <w:rFonts w:ascii="SimSun" w:hAnsi="SimSun" w:eastAsia="SimSun" w:cs="SimSun"/>
          <w:color w:val="000000"/>
          <w:sz w:val="21"/>
        </w:rPr>
        <w:t xml:space="preserve">（如不涉及此项可忽略）</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1.小、微企业</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ascii="SimSun" w:hAnsi="SimSun" w:eastAsia="SimSun" w:cs="SimSun"/>
          <w:b/>
          <w:color w:val="000000"/>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ascii="SimSun" w:hAnsi="SimSun" w:eastAsia="SimSun" w:cs="SimSun"/>
          <w:b/>
          <w:color w:val="000000"/>
          <w:sz w:val="21"/>
        </w:rPr>
        <w:t xml:space="preserve">服务类项目中供应商若使用退休人员，将不享受相关扶持政策。</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根据《政府采购促进中小企业发展管理办法》（财库〔2020〕46号）及《中小企业划型标准规定》（工信部联企业〔2011〕300号），本采购项目对应的中小企业划分标准所属行业为：</w:t>
      </w:r>
      <w:r>
        <w:rPr>
          <w:rFonts w:ascii="SimSun" w:hAnsi="SimSun" w:eastAsia="SimSun" w:cs="SimSun"/>
          <w:b/>
          <w:color w:val="000000"/>
          <w:sz w:val="21"/>
        </w:rPr>
        <w:t xml:space="preserve">其他未列明行业。</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2.残疾人福利性单位</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3.监狱企业</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4.绿色采购</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right="0" w:firstLine="420"/>
        <w:jc w:val="both"/>
        <w:spacing w:before="0" w:after="0" w:line="360" w:lineRule="auto"/>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5</w:t>
      </w:r>
      <w:r>
        <w:rPr>
          <w:rFonts w:ascii="SimSun" w:hAnsi="SimSun" w:eastAsia="SimSun" w:cs="SimSun"/>
          <w:color w:val="000000"/>
          <w:sz w:val="21"/>
        </w:rPr>
        <w:t xml:space="preserve">.对本国产品的支持政策</w:t>
      </w:r>
      <w:r/>
    </w:p>
    <w:p>
      <w:pPr>
        <w:ind w:left="0" w:right="0" w:firstLine="420"/>
        <w:jc w:val="both"/>
        <w:spacing w:before="0" w:after="0" w:line="360" w:lineRule="auto"/>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国务院办公厅关于在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w:t>
      </w:r>
      <w:r>
        <w:rPr>
          <w:rFonts w:ascii="SimSun" w:hAnsi="SimSun" w:eastAsia="SimSun" w:cs="SimSun"/>
          <w:color w:val="000000"/>
          <w:sz w:val="21"/>
        </w:rPr>
        <w:t xml:space="preserve">用扣除后的价格参与评审。</w:t>
      </w:r>
      <w:r/>
    </w:p>
    <w:p>
      <w:pPr>
        <w:ind w:left="0" w:right="0" w:firstLine="422"/>
        <w:jc w:val="both"/>
        <w:spacing w:before="0" w:after="0" w:line="360" w:lineRule="auto"/>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20"/>
        <w:jc w:val="both"/>
        <w:spacing w:before="0" w:after="0" w:line="360" w:lineRule="auto"/>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420"/>
        <w:jc w:val="both"/>
        <w:spacing w:before="0" w:after="0" w:line="360" w:lineRule="auto"/>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对其提供的产品出具《关于符合本国产品标准的声明函》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r/>
    </w:p>
    <w:p>
      <w:pPr>
        <w:ind w:left="0" w:right="0" w:firstLine="420"/>
        <w:jc w:val="both"/>
        <w:spacing w:before="0" w:after="0" w:line="360" w:lineRule="auto"/>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6.关于深入开展苏州市政府采购合同信用融资业务的通知</w:t>
      </w:r>
      <w:r/>
    </w:p>
    <w:p>
      <w:pPr>
        <w:ind w:left="0" w:right="0" w:firstLine="420"/>
        <w:jc w:val="both"/>
        <w:spacing w:before="0" w:after="0" w:line="360" w:lineRule="auto"/>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根据苏州市财政局《关于深入开展苏州市政府采购合同信用融资业务的通知》相关要求，本项目支持政府采购合同信用融资。</w:t>
      </w:r>
      <w:r/>
    </w:p>
    <w:tbl>
      <w:tblPr>
        <w:tblStyle w:val="99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4"/>
      </w:tblGrid>
      <w:tr>
        <w:trPr>
          <w:trHeight w:val="242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top"/>
            <w:textDirection w:val="lrTb"/>
            <w:noWrap w:val="false"/>
          </w:tcPr>
          <w:p>
            <w:pPr>
              <w:ind w:left="0" w:right="0" w:firstLine="42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政府采购合同信用融资政策告知函</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各政府采购供应商:</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欢迎贵公司参加苏州市政府采购活动！</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ind w:left="0" w:right="0" w:firstLine="42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十五、关于对参与供应商信用记录的政府采购要求</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1.采购代理机构会在接收响应文件截止时间后，登录信用中国网站（www.creditchina.gov.cn/）、中国政府采购网（</w:t>
      </w:r>
      <w:r>
        <w:rPr>
          <w:rFonts w:ascii="SimSun" w:hAnsi="SimSun" w:eastAsia="SimSun" w:cs="SimSun"/>
          <w:color w:val="000000"/>
          <w:sz w:val="21"/>
          <w:u w:val="none"/>
        </w:rPr>
        <w:t xml:space="preserve">www.ccgp.gov.cn/</w:t>
      </w:r>
      <w:r>
        <w:rPr>
          <w:rFonts w:ascii="SimSun" w:hAnsi="SimSun" w:eastAsia="SimSun" w:cs="SimSun"/>
          <w:color w:val="000000"/>
          <w:sz w:val="21"/>
        </w:rPr>
        <w:t xml:space="preserve">）查询供应商的信用记录，并将查询结果递交评审小组。</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如供应商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4.供应商若在经营活动中受到罚款的，请携带相关地方、部门对</w:t>
      </w:r>
      <w:r>
        <w:rPr>
          <w:rFonts w:ascii="SimSun" w:hAnsi="SimSun" w:eastAsia="SimSun" w:cs="SimSun"/>
          <w:color w:val="000000"/>
          <w:sz w:val="21"/>
          <w:u w:val="none"/>
        </w:rPr>
        <w:t xml:space="preserve">较大数额</w:t>
      </w:r>
      <w:r>
        <w:rPr>
          <w:rFonts w:ascii="SimSun" w:hAnsi="SimSun" w:eastAsia="SimSun" w:cs="SimSun"/>
          <w:color w:val="000000"/>
          <w:sz w:val="21"/>
        </w:rPr>
        <w:t xml:space="preserve">认定标准的证明材料，与响应文件一并提交。若无法提供，则可能承担响应无效等相应不利后果。</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5.对存在失信信息的供应商，由失信供应商进行确认。同时，采购代理机构工作人员应根据评审小组确认的失信信息，登陆到相关来源网站页面进行复核并打印，作为证据留存。</w:t>
      </w:r>
      <w:r/>
    </w:p>
    <w:p>
      <w:pPr>
        <w:ind w:left="0" w:right="0" w:firstLine="42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十六、凡涉及采购文件的补充说明和修改，均以网上发布的通知为准。</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br w:type="page" w:clear="all"/>
      </w:r>
      <w:r/>
    </w:p>
    <w:p>
      <w:pPr>
        <w:pStyle w:val="952"/>
        <w:ind w:left="0" w:right="0" w:firstLine="0"/>
        <w:jc w:val="center"/>
        <w:spacing w:before="200" w:after="200" w:line="9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第三章 竞争性磋商文件</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受苏州市相城区园林绿化建设管理中心的委托，江苏鸿渐投资咨询管理有限公司对其要求采购的2026-2029年绿化养护监理服务项目进行竞争性磋商采购，欢迎符合磋商采购文件资格条件的供应商前来参加磋商。</w:t>
      </w:r>
      <w:r/>
    </w:p>
    <w:p>
      <w:pPr>
        <w:ind w:left="0" w:right="0" w:firstLine="42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一、采购编号：</w:t>
      </w:r>
      <w:r>
        <w:rPr>
          <w:rFonts w:ascii="SimSun" w:hAnsi="SimSun" w:eastAsia="SimSun" w:cs="SimSun"/>
          <w:color w:val="000000"/>
          <w:sz w:val="21"/>
        </w:rPr>
        <w:t xml:space="preserve">JSZC-320507-SZHJ-C2026-0007</w:t>
      </w:r>
      <w:r/>
    </w:p>
    <w:p>
      <w:pPr>
        <w:ind w:left="0" w:right="0" w:firstLine="42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二、采购内容：</w:t>
      </w:r>
      <w:r>
        <w:rPr>
          <w:rFonts w:ascii="SimSun" w:hAnsi="SimSun" w:eastAsia="SimSun" w:cs="SimSun"/>
          <w:color w:val="000000"/>
          <w:sz w:val="21"/>
        </w:rPr>
        <w:t xml:space="preserve">2026-2029年绿化养护监理服务</w:t>
      </w:r>
      <w:r/>
    </w:p>
    <w:p>
      <w:pPr>
        <w:ind w:left="0" w:right="0" w:firstLine="42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三、采购预算：</w:t>
      </w:r>
      <w:r>
        <w:rPr>
          <w:rFonts w:ascii="SimSun" w:hAnsi="SimSun" w:eastAsia="SimSun" w:cs="SimSun"/>
          <w:color w:val="000000"/>
          <w:sz w:val="21"/>
        </w:rPr>
        <w:t xml:space="preserve">人民币壹佰肆拾捌万元整（¥1480000.00）</w:t>
      </w:r>
      <w:r/>
    </w:p>
    <w:p>
      <w:pPr>
        <w:ind w:left="0" w:right="0" w:firstLine="42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四、最高限价：</w:t>
      </w:r>
      <w:r>
        <w:rPr>
          <w:rFonts w:ascii="SimSun" w:hAnsi="SimSun" w:eastAsia="SimSun" w:cs="SimSun"/>
          <w:color w:val="000000"/>
          <w:sz w:val="21"/>
        </w:rPr>
        <w:t xml:space="preserve">人民币壹佰肆拾捌万元整（¥1480000.00）</w:t>
      </w:r>
      <w:r/>
    </w:p>
    <w:p>
      <w:pPr>
        <w:ind w:left="0" w:right="0" w:firstLine="42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五、服务期限：</w:t>
      </w:r>
      <w:r>
        <w:rPr>
          <w:rFonts w:ascii="SimSun" w:hAnsi="SimSun" w:eastAsia="SimSun" w:cs="SimSun"/>
          <w:color w:val="000000"/>
          <w:sz w:val="21"/>
        </w:rPr>
        <w:t xml:space="preserve">自签订合同之日起3年。</w:t>
      </w:r>
      <w:r/>
    </w:p>
    <w:p>
      <w:pPr>
        <w:ind w:left="0" w:right="0" w:firstLine="42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bCs/>
          <w:color w:val="000000"/>
          <w:sz w:val="21"/>
          <w:szCs w:val="21"/>
        </w:rPr>
        <w:t xml:space="preserve">六</w:t>
      </w:r>
      <w:r>
        <w:rPr>
          <w:rFonts w:ascii="SimSun" w:hAnsi="SimSun" w:eastAsia="SimSun" w:cs="SimSun"/>
          <w:b/>
          <w:bCs/>
          <w:color w:val="000000"/>
          <w:sz w:val="21"/>
          <w:szCs w:val="21"/>
        </w:rPr>
        <w:t xml:space="preserve">、</w:t>
      </w:r>
      <w:r>
        <w:rPr>
          <w:rFonts w:ascii="SimSun" w:hAnsi="SimSun" w:eastAsia="SimSun" w:cs="SimSun"/>
          <w:b/>
          <w:bCs/>
          <w:color w:val="000000"/>
          <w:sz w:val="21"/>
          <w:szCs w:val="21"/>
        </w:rPr>
        <w:t xml:space="preserve">服务要求：</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1.养护巡查与考核：</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监理单位依据《相城区园林绿化养护管理考核办法》、《相城区园林绿化养护管理考核评分细则》对养护单位进行日常巡视、检查，针对巡查过程中发现的问题发布整改单，要求养护单位限期整改，并对整改结果进行核实、结案。每周完成一次全覆盖巡查及整改情况反馈、制作相关报告资料等。其中一体化养护的公园、景观带除查看绿化养护问题外，还须巡查市政设施维修情况、景观灯亮灯率、保洁、公厕保洁维护和安保情况等。</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（2）要求成交单位配合采购人考核，参与采购人组织的考核、安全检查及养护相关会议。</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（3）主动解决力所能及的养护问题。</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（4）配合采购人处理其他园林绿化方面的工作，完成采购人工作安排。</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2.工程质量监管：</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对养护工程、维修提升、应急项目等进行质量监督，包括材料验收、工序检查、隐蔽工程验收、竣工验收等。</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3.安全生产监管：</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检查养护作业中的安全措施（反光服、警示牌、登高车操作等）、应急预案执行、防汛防台应急响应、110联动抢险到位情况。</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4.投资控制：</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审核养护、搬迁、应急工程等涉及的工程量变更、费用变更、现场签证；对比合同与结算，防止财政资金浪费；配合采购人进行预算执行分析。</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5.平台信息管理：</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配合采购人使用养护管理系统、工单系统、考核平台等；录入巡查数据、整改闭环信息；维护养护单位、监理单位的轨迹数据；生成各类统计报表。</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6.绿化搬迁全流程监管：</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从搬迁前现场勘察、苗木清点、编号登记，到搬迁过程旁站监督、台账管理，再到搬迁后苗木种植地点核对、成活率跟踪等全过程监管。</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7.应急工程监管：</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对年度应急工程（如突发毁绿恢复、应急维修等）进行工程量认定、进度督促、质量管控、现场验收。</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8.台账与报告管理：</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每日巡查日志（含照片、整改单）；每周汇总；每月5日前提交考核月报、下月计划。</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9.专家技术服务：</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由成交单位外聘或依托自身专家资源，针对养护难点（古树复壮、草坪更新、高架下植物复壮、特殊病虫害等）提供技术咨询；为采购人、养护单位提供专业技术指导。每年需提供不少于2次专业培训和不少于4次技术指导等专家服务；内容涵盖绿化养护技术、病虫害绿色防控、古树名木保护、草坪及地被复壮、高架下植物特殊养护、水质与水生植物管理、土壤改良与施肥。</w:t>
      </w:r>
      <w:r/>
    </w:p>
    <w:p>
      <w:pPr>
        <w:ind w:left="0" w:right="0" w:firstLine="42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（四）监理范围：</w:t>
      </w:r>
      <w:r/>
    </w:p>
    <w:tbl>
      <w:tblPr>
        <w:tblStyle w:val="99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34"/>
        <w:gridCol w:w="1134"/>
        <w:gridCol w:w="1134"/>
        <w:gridCol w:w="1134"/>
      </w:tblGrid>
      <w:tr>
        <w:trPr>
          <w:gridAfter w:val="1"/>
          <w:trHeight w:val="31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0" w:type="dxa"/>
            <w:vAlign w:val="center"/>
            <w:textDirection w:val="lrTb"/>
            <w:noWrap/>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764" w:type="dxa"/>
            <w:vAlign w:val="center"/>
            <w:textDirection w:val="lrTb"/>
            <w:noWrap/>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监理范围（暂估）</w:t>
            </w:r>
            <w:r/>
          </w:p>
        </w:tc>
      </w:tr>
      <w:tr>
        <w:trPr>
          <w:gridAfter w:val="1"/>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0" w:type="dxa"/>
            <w:vAlign w:val="center"/>
            <w:vMerge w:val="restart"/>
            <w:textDirection w:val="lrTb"/>
            <w:noWrap/>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12" w:type="dxa"/>
            <w:vAlign w:val="center"/>
            <w:vMerge w:val="restart"/>
            <w:textDirection w:val="lrTb"/>
            <w:noWrap/>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相城大道</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85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润元路-阳澄湖路</w:t>
            </w:r>
            <w:r/>
          </w:p>
        </w:tc>
      </w:tr>
      <w:tr>
        <w:trPr>
          <w:gridAfter w:val="1"/>
          <w:trHeight w:val="28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春申湖路-太东路</w:t>
            </w:r>
            <w:r/>
          </w:p>
        </w:tc>
      </w:tr>
      <w:tr>
        <w:trPr>
          <w:gridAfter w:val="1"/>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0" w:type="dxa"/>
            <w:vAlign w:val="center"/>
            <w:textDirection w:val="lrTb"/>
            <w:noWrap/>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12" w:type="dxa"/>
            <w:vAlign w:val="center"/>
            <w:textDirection w:val="lrTb"/>
            <w:noWrap/>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人民路（润元路-阳澄湖路）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润元路-阳澄湖路</w:t>
            </w:r>
            <w:r/>
          </w:p>
        </w:tc>
      </w:tr>
      <w:tr>
        <w:trPr>
          <w:gridAfter w:val="1"/>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0" w:type="dxa"/>
            <w:vAlign w:val="center"/>
            <w:textDirection w:val="lrTb"/>
            <w:noWrap/>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12" w:type="dxa"/>
            <w:vAlign w:val="center"/>
            <w:textDirection w:val="lrTb"/>
            <w:noWrap/>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采莲路（太阳路-润元路）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太阳路-润元路</w:t>
            </w:r>
            <w:r/>
          </w:p>
        </w:tc>
      </w:tr>
      <w:tr>
        <w:trPr>
          <w:gridAfter w:val="1"/>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0" w:type="dxa"/>
            <w:vAlign w:val="center"/>
            <w:vMerge w:val="restart"/>
            <w:textDirection w:val="lrTb"/>
            <w:noWrap/>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12" w:type="dxa"/>
            <w:vAlign w:val="center"/>
            <w:vMerge w:val="restart"/>
            <w:textDirection w:val="lrTb"/>
            <w:noWrap/>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太阳路（阳澄湖隧道-望虞河）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御窑路-望虞河中侧分带</w:t>
            </w:r>
            <w:r/>
          </w:p>
        </w:tc>
      </w:tr>
      <w:tr>
        <w:trPr>
          <w:gridAfter w:val="1"/>
          <w:trHeight w:val="28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广济路至生田村</w:t>
            </w:r>
            <w:r/>
          </w:p>
        </w:tc>
      </w:tr>
      <w:tr>
        <w:trPr>
          <w:gridAfter w:val="1"/>
          <w:trHeight w:val="28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阳澄湖隧道西侧出口、相城大道至S227</w:t>
            </w:r>
            <w:r/>
          </w:p>
        </w:tc>
      </w:tr>
      <w:tr>
        <w:trPr>
          <w:gridAfter w:val="1"/>
          <w:trHeight w:val="28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御窑路-阳澄湖隧道</w:t>
            </w:r>
            <w:r/>
          </w:p>
        </w:tc>
      </w:tr>
      <w:tr>
        <w:trPr>
          <w:gridAfter w:val="1"/>
          <w:trHeight w:val="28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永方路-望虞河两侧</w:t>
            </w:r>
            <w:r/>
          </w:p>
        </w:tc>
      </w:tr>
      <w:tr>
        <w:trPr>
          <w:gridAfter w:val="1"/>
          <w:trHeight w:val="28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G312沿线修复零星工程（太阳路荷塘月色节点、东挺河路节点）</w:t>
            </w:r>
            <w:r/>
          </w:p>
        </w:tc>
      </w:tr>
      <w:tr>
        <w:trPr>
          <w:gridAfter w:val="1"/>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0" w:type="dxa"/>
            <w:vAlign w:val="center"/>
            <w:vMerge w:val="restart"/>
            <w:textDirection w:val="lrTb"/>
            <w:noWrap/>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12" w:type="dxa"/>
            <w:vAlign w:val="center"/>
            <w:vMerge w:val="restart"/>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G524（太阳路-</w:t>
              <w:br/>
              <w:t xml:space="preserve">G524与园区交界处曹庄片区）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阳澄湖东路-太阳路</w:t>
            </w:r>
            <w:r/>
          </w:p>
        </w:tc>
      </w:tr>
      <w:tr>
        <w:trPr>
          <w:gridAfter w:val="1"/>
          <w:trHeight w:val="28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G524与园区交界处（曹庄片区）</w:t>
            </w:r>
            <w:r/>
          </w:p>
        </w:tc>
      </w:tr>
      <w:tr>
        <w:trPr>
          <w:gridAfter w:val="1"/>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0" w:type="dxa"/>
            <w:vAlign w:val="center"/>
            <w:textDirection w:val="lrTb"/>
            <w:noWrap/>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1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S228（太阳路-凤北荡路）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太阳路-凤北荡路</w:t>
            </w:r>
            <w:r/>
          </w:p>
        </w:tc>
      </w:tr>
      <w:tr>
        <w:trPr>
          <w:gridAfter w:val="1"/>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0" w:type="dxa"/>
            <w:vAlign w:val="center"/>
            <w:vMerge w:val="restart"/>
            <w:textDirection w:val="lrTb"/>
            <w:noWrap/>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12" w:type="dxa"/>
            <w:vAlign w:val="center"/>
            <w:vMerge w:val="restart"/>
            <w:textDirection w:val="lrTb"/>
            <w:noWrap/>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广济北路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观塘路-凤北荡路、御窑路凤北荡路-北桥收费站</w:t>
            </w:r>
            <w:r/>
          </w:p>
        </w:tc>
      </w:tr>
      <w:tr>
        <w:trPr>
          <w:gridAfter w:val="1"/>
          <w:trHeight w:val="28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高铁节点、广济路、下堡节点</w:t>
            </w:r>
            <w:r/>
          </w:p>
        </w:tc>
      </w:tr>
      <w:tr>
        <w:trPr>
          <w:gridAfter w:val="1"/>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0" w:type="dxa"/>
            <w:vAlign w:val="center"/>
            <w:textDirection w:val="lrTb"/>
            <w:noWrap/>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12" w:type="dxa"/>
            <w:vAlign w:val="center"/>
            <w:textDirection w:val="lrTb"/>
            <w:noWrap/>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御窑路（太阳路-凤北荡路）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太阳路-凤北荡路</w:t>
            </w:r>
            <w:r/>
          </w:p>
        </w:tc>
      </w:tr>
      <w:tr>
        <w:trPr>
          <w:gridAfter w:val="1"/>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0" w:type="dxa"/>
            <w:vAlign w:val="center"/>
            <w:vMerge w:val="restart"/>
            <w:textDirection w:val="lrTb"/>
            <w:noWrap/>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12" w:type="dxa"/>
            <w:vAlign w:val="center"/>
            <w:vMerge w:val="restart"/>
            <w:textDirection w:val="lrTb"/>
            <w:noWrap/>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永方路（阳澄湖路-春秋路）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永方路北延绿化工程（春秋路-黄蠡路）</w:t>
            </w:r>
            <w:r/>
          </w:p>
        </w:tc>
      </w:tr>
      <w:tr>
        <w:trPr>
          <w:gridAfter w:val="1"/>
          <w:trHeight w:val="28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阳澄湖路-黄蠡路</w:t>
            </w:r>
            <w:r/>
          </w:p>
        </w:tc>
      </w:tr>
      <w:tr>
        <w:trPr>
          <w:gridAfter w:val="1"/>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0" w:type="dxa"/>
            <w:vAlign w:val="center"/>
            <w:vMerge w:val="restart"/>
            <w:textDirection w:val="lrTb"/>
            <w:noWrap/>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12" w:type="dxa"/>
            <w:vAlign w:val="center"/>
            <w:vMerge w:val="restart"/>
            <w:textDirection w:val="lrTb"/>
            <w:noWrap/>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黄蠡路（广济北路-御窑路）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黄蠡路绿化工程一标（广济北路-御窑路中、侧分带）</w:t>
            </w:r>
            <w:r/>
          </w:p>
        </w:tc>
      </w:tr>
      <w:tr>
        <w:trPr>
          <w:gridAfter w:val="1"/>
          <w:trHeight w:val="28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黄蠡路绿化工程二标（广济北路-御窑路两侧绿地）</w:t>
            </w:r>
            <w:r/>
          </w:p>
        </w:tc>
      </w:tr>
      <w:tr>
        <w:trPr>
          <w:gridAfter w:val="1"/>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0" w:type="dxa"/>
            <w:vAlign w:val="center"/>
            <w:textDirection w:val="lrTb"/>
            <w:noWrap/>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12" w:type="dxa"/>
            <w:vAlign w:val="center"/>
            <w:textDirection w:val="lrTb"/>
            <w:noWrap/>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济学路（华元路-太阳路）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华元路-太阳路</w:t>
            </w:r>
            <w:r/>
          </w:p>
        </w:tc>
      </w:tr>
      <w:tr>
        <w:trPr>
          <w:gridAfter w:val="1"/>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0" w:type="dxa"/>
            <w:vAlign w:val="center"/>
            <w:textDirection w:val="lrTb"/>
            <w:noWrap/>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1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太东路（元和塘-汤浜路）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元和塘-汤浜路、烈士纪念馆及元和之春2期</w:t>
            </w:r>
            <w:r/>
          </w:p>
        </w:tc>
      </w:tr>
      <w:tr>
        <w:trPr>
          <w:gridAfter w:val="1"/>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0" w:type="dxa"/>
            <w:vAlign w:val="center"/>
            <w:vMerge w:val="restart"/>
            <w:textDirection w:val="lrTb"/>
            <w:noWrap/>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12" w:type="dxa"/>
            <w:vAlign w:val="center"/>
            <w:vMerge w:val="restart"/>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中环快速路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中环快速路春申湖路互通绿化工程</w:t>
            </w:r>
            <w:r/>
          </w:p>
        </w:tc>
      </w:tr>
      <w:tr>
        <w:trPr>
          <w:gridAfter w:val="1"/>
          <w:trHeight w:val="28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中环快速路(新苏虞张黄埭路-春申湖路互通及中环北线春申湖路互通至新区交界处)</w:t>
            </w:r>
            <w:r/>
          </w:p>
        </w:tc>
      </w:tr>
      <w:tr>
        <w:trPr>
          <w:gridAfter w:val="1"/>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0" w:type="dxa"/>
            <w:vAlign w:val="center"/>
            <w:textDirection w:val="lrTb"/>
            <w:noWrap/>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1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望虞河（无锡交界-方桥路、方桥路-冶长泾闸口）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望虞河</w:t>
            </w:r>
            <w:r/>
          </w:p>
        </w:tc>
      </w:tr>
      <w:tr>
        <w:trPr>
          <w:gridAfter w:val="1"/>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0" w:type="dxa"/>
            <w:vAlign w:val="center"/>
            <w:vMerge w:val="restart"/>
            <w:textDirection w:val="lrTb"/>
            <w:noWrap/>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12" w:type="dxa"/>
            <w:vAlign w:val="center"/>
            <w:vMerge w:val="restart"/>
            <w:textDirection w:val="lrTb"/>
            <w:noWrap/>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京沪高铁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望虞河-广济路</w:t>
            </w:r>
            <w:r/>
          </w:p>
        </w:tc>
      </w:tr>
      <w:tr>
        <w:trPr>
          <w:gridAfter w:val="1"/>
          <w:trHeight w:val="28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开泰路-沈桥，元和塘-广济路</w:t>
            </w:r>
            <w:r/>
          </w:p>
        </w:tc>
      </w:tr>
      <w:tr>
        <w:trPr>
          <w:gridAfter w:val="1"/>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0" w:type="dxa"/>
            <w:vAlign w:val="center"/>
            <w:textDirection w:val="lrTb"/>
            <w:noWrap/>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1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康元一号（新福路苏州市</w:t>
              <w:br/>
              <w:t xml:space="preserve">社会福利总院）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新福路苏州市社会福利总院</w:t>
            </w:r>
            <w:r/>
          </w:p>
        </w:tc>
      </w:tr>
      <w:tr>
        <w:trPr>
          <w:gridAfter w:val="1"/>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0" w:type="dxa"/>
            <w:vAlign w:val="center"/>
            <w:textDirection w:val="lrTb"/>
            <w:noWrap/>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12" w:type="dxa"/>
            <w:vAlign w:val="center"/>
            <w:textDirection w:val="lrTb"/>
            <w:noWrap/>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春申湖路（东挺河路-G524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春申湖路景观绿化</w:t>
            </w:r>
            <w:r/>
          </w:p>
        </w:tc>
      </w:tr>
      <w:tr>
        <w:trPr>
          <w:gridAfter w:val="1"/>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0" w:type="dxa"/>
            <w:vAlign w:val="center"/>
            <w:textDirection w:val="lrTb"/>
            <w:noWrap/>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12" w:type="dxa"/>
            <w:vAlign w:val="center"/>
            <w:textDirection w:val="lrTb"/>
            <w:noWrap/>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G524（太阳路-凤阳路）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G524太阳路以北</w:t>
            </w:r>
            <w:r/>
          </w:p>
        </w:tc>
      </w:tr>
      <w:tr>
        <w:trPr>
          <w:gridAfter w:val="1"/>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0" w:type="dxa"/>
            <w:vAlign w:val="center"/>
            <w:textDirection w:val="lrTb"/>
            <w:noWrap/>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12" w:type="dxa"/>
            <w:vAlign w:val="center"/>
            <w:textDirection w:val="lrTb"/>
            <w:noWrap/>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南天成路（广济北路-御窑路）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南天成路绿化景观工程</w:t>
            </w:r>
            <w:r/>
          </w:p>
        </w:tc>
      </w:tr>
      <w:tr>
        <w:trPr>
          <w:gridAfter w:val="1"/>
          <w:trHeight w:val="283"/>
        </w:trPr>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590" w:type="dxa"/>
            <w:vAlign w:val="center"/>
            <w:vMerge w:val="restart"/>
            <w:textDirection w:val="lrTb"/>
            <w:noWrap/>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3912" w:type="dxa"/>
            <w:vAlign w:val="center"/>
            <w:vMerge w:val="restart"/>
            <w:textDirection w:val="lrTb"/>
            <w:noWrap/>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漕湖大道（御窑路-G524）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漕湖大道景观绿化项目一标</w:t>
            </w:r>
            <w:r/>
          </w:p>
        </w:tc>
      </w:tr>
      <w:tr>
        <w:trPr>
          <w:gridAfter w:val="1"/>
          <w:trHeight w:val="312"/>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漕湖大道景观绿化项目二标</w:t>
            </w:r>
            <w:r/>
          </w:p>
        </w:tc>
      </w:tr>
      <w:tr>
        <w:trPr>
          <w:gridAfter w:val="1"/>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0" w:type="dxa"/>
            <w:vAlign w:val="center"/>
            <w:textDirection w:val="lrTb"/>
            <w:noWrap/>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12" w:type="dxa"/>
            <w:vAlign w:val="center"/>
            <w:textDirection w:val="lrTb"/>
            <w:noWrap/>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太阳路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G312沿线互通绿化工程</w:t>
            </w:r>
            <w:r/>
          </w:p>
        </w:tc>
      </w:tr>
      <w:tr>
        <w:trPr>
          <w:gridAfter w:val="1"/>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0" w:type="dxa"/>
            <w:vAlign w:val="center"/>
            <w:textDirection w:val="lrTb"/>
            <w:noWrap/>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12" w:type="dxa"/>
            <w:vAlign w:val="center"/>
            <w:textDirection w:val="lrTb"/>
            <w:noWrap/>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城北路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gridAfter w:val="1"/>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0" w:type="dxa"/>
            <w:vAlign w:val="center"/>
            <w:textDirection w:val="lrTb"/>
            <w:noWrap/>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12" w:type="dxa"/>
            <w:vAlign w:val="center"/>
            <w:textDirection w:val="lrTb"/>
            <w:noWrap/>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上高路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gridAfter w:val="1"/>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0" w:type="dxa"/>
            <w:vAlign w:val="center"/>
            <w:textDirection w:val="lrTb"/>
            <w:noWrap/>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12" w:type="dxa"/>
            <w:vAlign w:val="center"/>
            <w:textDirection w:val="lrTb"/>
            <w:noWrap/>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相城大道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相城大道沿线及周边绿化修复工程</w:t>
            </w:r>
            <w:r/>
          </w:p>
        </w:tc>
      </w:tr>
      <w:tr>
        <w:trPr>
          <w:gridAfter w:val="1"/>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0" w:type="dxa"/>
            <w:vAlign w:val="center"/>
            <w:textDirection w:val="lrTb"/>
            <w:noWrap/>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12" w:type="dxa"/>
            <w:vAlign w:val="center"/>
            <w:textDirection w:val="lrTb"/>
            <w:noWrap/>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广济北路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广济北路沿线及周边绿化修复工程</w:t>
            </w:r>
            <w:r/>
          </w:p>
        </w:tc>
      </w:tr>
      <w:tr>
        <w:trPr>
          <w:gridAfter w:val="1"/>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0" w:type="dxa"/>
            <w:vAlign w:val="center"/>
            <w:textDirection w:val="lrTb"/>
            <w:noWrap/>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1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绿色银行基地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绿色银行基地养护（一号公园西侧）</w:t>
            </w:r>
            <w:r/>
          </w:p>
        </w:tc>
      </w:tr>
      <w:tr>
        <w:trPr>
          <w:gridAfter w:val="1"/>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0" w:type="dxa"/>
            <w:vAlign w:val="center"/>
            <w:vMerge w:val="restart"/>
            <w:textDirection w:val="lrTb"/>
            <w:noWrap/>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12" w:type="dxa"/>
            <w:vAlign w:val="center"/>
            <w:vMerge w:val="restart"/>
            <w:textDirection w:val="lrTb"/>
            <w:noWrap/>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书香公园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书香公园一期</w:t>
            </w:r>
            <w:r/>
          </w:p>
        </w:tc>
      </w:tr>
      <w:tr>
        <w:trPr>
          <w:gridAfter w:val="1"/>
          <w:trHeight w:val="28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书香公园二期</w:t>
            </w:r>
            <w:r/>
          </w:p>
        </w:tc>
      </w:tr>
      <w:tr>
        <w:trPr>
          <w:gridAfter w:val="1"/>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0" w:type="dxa"/>
            <w:vAlign w:val="center"/>
            <w:textDirection w:val="lrTb"/>
            <w:noWrap/>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12" w:type="dxa"/>
            <w:vAlign w:val="center"/>
            <w:textDirection w:val="lrTb"/>
            <w:noWrap/>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教堂西侧公园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阳澄湖西路与永方路交叉口西北角</w:t>
            </w:r>
            <w:r/>
          </w:p>
        </w:tc>
      </w:tr>
      <w:tr>
        <w:trPr>
          <w:gridAfter w:val="1"/>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0" w:type="dxa"/>
            <w:vAlign w:val="center"/>
            <w:textDirection w:val="lrTb"/>
            <w:noWrap/>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1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朝阳河、平门塘公园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朝阳河（袁富庄路）、平门塘（外国语学校西侧）</w:t>
            </w:r>
            <w:r/>
          </w:p>
        </w:tc>
      </w:tr>
      <w:tr>
        <w:trPr>
          <w:gridAfter w:val="3"/>
          <w:trHeight w:val="283"/>
        </w:trPr>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0"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外国语学校外围修复工程</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0" w:type="dxa"/>
            <w:vAlign w:val="center"/>
            <w:textDirection w:val="lrTb"/>
            <w:noWrap/>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12" w:type="dxa"/>
            <w:vAlign w:val="center"/>
            <w:textDirection w:val="lrTb"/>
            <w:noWrap/>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乾唐墅公园</w:t>
            </w:r>
            <w:r/>
          </w:p>
        </w:tc>
        <w:tc>
          <w:tcPr>
            <w:vMerge w:val="restart"/>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gridAfter w:val="1"/>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嘉元路相城大道小游园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嘉元路与相城大道交叉口东北角</w:t>
            </w:r>
            <w:r/>
          </w:p>
        </w:tc>
      </w:tr>
      <w:tr>
        <w:trPr>
          <w:gridAfter w:val="1"/>
          <w:trHeight w:val="283"/>
        </w:trPr>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590" w:type="dxa"/>
            <w:vAlign w:val="center"/>
            <w:vMerge w:val="restart"/>
            <w:textDirection w:val="lrTb"/>
            <w:noWrap/>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3912" w:type="dxa"/>
            <w:vAlign w:val="center"/>
            <w:vMerge w:val="restart"/>
            <w:textDirection w:val="lrTb"/>
            <w:noWrap/>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一号公园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一号公园</w:t>
            </w:r>
            <w:r/>
          </w:p>
        </w:tc>
      </w:tr>
      <w:tr>
        <w:trPr>
          <w:gridAfter w:val="1"/>
          <w:trHeight w:val="28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一号公园周边绿化修复工程</w:t>
            </w:r>
            <w:r/>
          </w:p>
        </w:tc>
      </w:tr>
      <w:tr>
        <w:trPr>
          <w:gridAfter w:val="1"/>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0" w:type="dxa"/>
            <w:vAlign w:val="center"/>
            <w:textDirection w:val="lrTb"/>
            <w:noWrap/>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1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澄帆儿童友好公园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澄帆儿童友好公园</w:t>
            </w:r>
            <w:r/>
          </w:p>
        </w:tc>
      </w:tr>
      <w:tr>
        <w:trPr>
          <w:gridAfter w:val="1"/>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0" w:type="dxa"/>
            <w:vAlign w:val="center"/>
            <w:textDirection w:val="lrTb"/>
            <w:noWrap/>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1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风塔公园建设项目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风塔公园建设项目（阳澄西湖南隧道附近）</w:t>
            </w:r>
            <w:r/>
          </w:p>
        </w:tc>
      </w:tr>
      <w:tr>
        <w:trPr>
          <w:gridAfter w:val="1"/>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0" w:type="dxa"/>
            <w:vAlign w:val="center"/>
            <w:textDirection w:val="lrTb"/>
            <w:noWrap/>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12" w:type="dxa"/>
            <w:vAlign w:val="center"/>
            <w:textDirection w:val="lrTb"/>
            <w:noWrap/>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元和塘公园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元和塘公园</w:t>
            </w:r>
            <w:r/>
          </w:p>
        </w:tc>
      </w:tr>
      <w:tr>
        <w:trPr>
          <w:gridAfter w:val="1"/>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0" w:type="dxa"/>
            <w:vAlign w:val="center"/>
            <w:textDirection w:val="lrTb"/>
            <w:noWrap/>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1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文征明实验小学北侧公园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文征明实验小学北侧公园</w:t>
            </w:r>
            <w:r/>
          </w:p>
        </w:tc>
      </w:tr>
      <w:tr>
        <w:trPr>
          <w:gridAfter w:val="1"/>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0" w:type="dxa"/>
            <w:vAlign w:val="center"/>
            <w:textDirection w:val="lrTb"/>
            <w:noWrap/>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1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相城大道与春申湖路交叉口东北角处公园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相城大道与春申湖路交叉口东北角处公园</w:t>
            </w:r>
            <w:r/>
          </w:p>
        </w:tc>
      </w:tr>
      <w:tr>
        <w:trPr>
          <w:gridAfter w:val="1"/>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0" w:type="dxa"/>
            <w:vAlign w:val="center"/>
            <w:textDirection w:val="lrTb"/>
            <w:noWrap/>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1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城区高架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42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注：（1）负责上述管护区域绿化养护的单位不得成为本项目成交单位。</w:t>
      </w:r>
      <w:r/>
    </w:p>
    <w:p>
      <w:pPr>
        <w:ind w:left="0" w:right="0" w:firstLine="843"/>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（2）本项目预计监理范围为10,000,000平方米，包括但不限于上述监理范围，具体以采购人要求为准。</w:t>
      </w:r>
      <w:r/>
    </w:p>
    <w:p>
      <w:pPr>
        <w:ind w:left="0" w:right="0" w:firstLine="42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（五）监理人员要求：</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响应单位须为本项目配备不少于4人（可兼任）的服务团队：包括总监理工程师（项目负责人）、专业监理工程师（绿化养护巡查员）、监理员（资料员）、投资控制专员、信息管理专员。</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1.总监理工程师（项目负责人）：1名，需驻点，55周岁及以下，本科及以上。且具有国家注册监理工程师证书。</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2.专业监理工程师（绿化养护巡查员）：不少于2人，45周岁以下，3年以上经验。</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3.监理员（资料员）：不少于1人，大专及以上学历，按要求完成资料收集、汇总、上报等工作。要求能熟练使用ppt、word、Excel等办公室软件，熟悉绿化施工养护相关规范。</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4.投资控制专员：不少于1人（可兼任），需具备造价或工程管理能力。</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5.信息管理专员：不少于1人（可兼任），需熟悉各类办公及平台软件。</w:t>
      </w:r>
      <w:r/>
    </w:p>
    <w:p>
      <w:pPr>
        <w:ind w:left="0" w:right="0" w:firstLine="42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（六）设备要求：</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1.供应商投入不少于2辆小型轿车用于绿化养护巡查。</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配备带水印拍照手机、GPS轨迹设备和无人机（根据采购人需要提供）进行工作轨迹考核，工作日每天要上传轨迹图，轨迹图显示工作时长，每日工作时长不少于6小时，工作时间在6：00-22:00区间内，早中晚合理分配。所有拍摄照片需带水印，显示编号、时间、地点、巡查人员姓名、养护问题等。驻点工作人员作息按照科室规定，特殊情况须加班。</w:t>
      </w:r>
      <w:r/>
    </w:p>
    <w:p>
      <w:pPr>
        <w:ind w:left="0" w:right="0" w:firstLine="42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（七）其他要求:</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1.绿化养护单位如存在养护人员不到位、养护质量差或养护出现重大失误等问题，成交单位应直接向绿化养护单位发出书面整改通知。</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所有人员的更换必须提前一周通知甲方，在得到采购人的书面认可后方可更换，并且成交单位调换的人员资格不得低于被调换人员的资格。未经甲方同意调换本合同组成人员的，视为乙方的违约行为。甲方可视乙方的违约状况，有权决定是否解除本合同，并要求乙方赔偿甲方所有的直接或间接损失。人员数量少于招标要求，累计发现三次，甲方有权解除本合同。</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3.成交单位须公开、公平、公正的做好日常绿化监管工作，如发生徇私舞弊及违反廉政规定的行为，一律清退出场，并由乙方承担相应的经济责任，甲方有权解除本合同。</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4.成交单位工作人员确保工作时间内通讯畅通，如遇突发情况如防台、防洪、抗旱、迎检、110联动等应急时现场巡查、处置。</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5.配合采购人完成采购人布置的临时性任务及指令性工作。</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6.成交单位需配合采购人完成《相城区养护管理考核办法》、《相城区绿地养护管理标准及要求》的修订完善工作；配合采购人处理其他与园林绿化有关的工作，服从采购人安排。</w:t>
      </w:r>
      <w:r/>
    </w:p>
    <w:p>
      <w:pPr>
        <w:ind w:left="0" w:right="0" w:firstLine="42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（八）监理成果：</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在监理工作结束以后，按资料归档要求编写监理报告，并需提交以下成果资料：</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1.监理实施细则； </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2.会议纪要； </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3.监理日志； </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4.监理月报； </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5.监理工作总结； </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6.其它监理资料。</w:t>
      </w:r>
      <w:r/>
    </w:p>
    <w:p>
      <w:pPr>
        <w:ind w:left="0" w:right="0" w:firstLine="42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七、其他要求及综合说明：</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1.供应商提供的服务能够至少达到以上要求，同时明确具体的服务方案。</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2.供应商必须承诺磋商文件中提出的全部要求，如果其中某些条款不响应时，应在《服务要求偏离表》中逐条列出，未列出的视同响应。</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3.供应商应对所投项目的全部内容进行报价，只投其中部分内容者，其响应文件将被拒绝。成交供应商对服务缺陷不予更正，采购方有权另请其他单位更正，所发生的费用由成交供应商承担。</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本合同为固定总价合同，投标报价包括但不限于人工费（包括人员工资、社会保险费用、福利费、加班费、人身意外伤害险等）、设备工具费、差旅费、交通费、成果编制费（含印刷费）、驻场服务费、代理服务费、项目利润、风险费、税费及政策性文件规定和合同所包含的所有风险、责任等各项应有费用。</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5.如遇服务范围内有大的调整情况，采购单位将提前告知成交单位，合同内容经双方协商调整。</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成交单位应经常对员工进行岗位职责和安全教育，加强岗位责任考核。因成交单位管理不善，造成工作范围内的设施、设备等损坏的，由直接负责人赔偿，若直接负责人因故无法赔偿的，采购单位有权要求成交单位负责赔偿损失，情节严重的可终止合同甚至诉诸法律。</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7.成交单位工作人员在岗履行职责期间（包括上下班途中），发生自身的人身伤害、伤亡，均由成交单位负责处理并承担经济和道义上的责任，采购单位不承担任何责任。</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8.政府采购合同履行中，采购人需追加与合同标的物相同的服务的，在不改变合同其他条款的前提下，采购人可以与供应商签订补充合同，但所有补充合同的采购金额不得超过原合同采购金额的百分之十。</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9.成交供应商对服务缺陷不予更正，甲方有权另请其他单位更正，所发生的费用由成交供应商承担。</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10.若成交供应商在服务期间，违反下列规定将被解除服务合同，并扣除剩余待支付费用：</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 严禁将服务转包他人。</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10.2 出现重大责任事故。</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10.3 泄露相关保密信息。</w:t>
      </w:r>
      <w:r/>
    </w:p>
    <w:p>
      <w:pPr>
        <w:pStyle w:val="952"/>
        <w:ind w:left="0" w:right="0" w:firstLine="0"/>
        <w:jc w:val="center"/>
        <w:spacing w:before="200" w:after="200" w:line="360" w:lineRule="auto"/>
        <w:pBdr>
          <w:top w:val="none" w:color="000000" w:sz="4" w:space="0"/>
          <w:left w:val="none" w:color="000000" w:sz="4" w:space="0"/>
          <w:bottom w:val="none" w:color="000000" w:sz="4" w:space="0"/>
          <w:right w:val="none" w:color="000000" w:sz="4" w:space="0"/>
        </w:pBdr>
      </w:pPr>
      <w:r>
        <w:br w:type="page" w:clear="all"/>
      </w:r>
      <w:r/>
    </w:p>
    <w:p>
      <w:pPr>
        <w:pStyle w:val="952"/>
        <w:ind w:left="0" w:right="0" w:firstLine="0"/>
        <w:jc w:val="center"/>
        <w:spacing w:before="200" w:after="20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u w:val="none"/>
        </w:rPr>
        <w:t xml:space="preserve">第四章评审方法及评分标准</w:t>
      </w:r>
      <w:r/>
    </w:p>
    <w:p>
      <w:pPr>
        <w:ind w:left="0" w:right="0" w:firstLine="42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一、评审办法</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1.本次磋商采用综合评分法，即在响应文件满足采购文件全部实质性要求且按评审因素的量化指标评审得分最高的供应商为成交候选供应商。采购人书面授权磋商小组直接确定成交供应商。</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2.评审小组各成员独立对每个进入打分程序的有效磋商供应商的响应文件技术和资质部分以打分的形式进行评审和评价。 </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3.对评委的评分进行统计汇总，直接算术平均计算得分，计算出每个磋商供应商的得分，加上价格得分即为每个磋商供应商的综合得分。 </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4.如出现评审总得分最高的磋商供应商有两个或两个以上的，以磋商报价较低者优先作为成交人，如果磋商报价也相同的，则由采购人或评审小组组织以抽签方式确定成交人。 </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5.针对中小型企业、残疾人福利企业和监狱企业的评审：</w:t>
      </w:r>
      <w:r/>
    </w:p>
    <w:p>
      <w:pPr>
        <w:ind w:left="0" w:right="0" w:firstLine="42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本项目专门面向中小企业采购。</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政府采购促进中小企业发展管理办法》（财库〔2020〕46号）、《关于促进残疾人就业政府采购政策的通知》（财库〔2017〕141号）、《关于政府采购支持监狱企业发展有关问题的通知》（财库〔2014〕68号）、《关于做好政府采购支持企业发展有关事项的通知》（苏财购〔2020〕52号）及《关于印发&lt;苏州市政府采购促进中小企业发展实施意见&gt;的通知》（苏财购〔2022〕16号）的有关规定，对于符合上述文件规定情形的小微企业、残疾人福利性单位及监狱企业报价给予20%的扣除，用扣除后的价格参与评审，如扣除后的价格为</w:t>
      </w:r>
      <w:r>
        <w:rPr>
          <w:rFonts w:ascii="SimSun" w:hAnsi="SimSun" w:eastAsia="SimSun" w:cs="SimSun"/>
          <w:color w:val="000000"/>
          <w:sz w:val="21"/>
        </w:rPr>
        <w:t xml:space="preserve">最低价的，则作为评审基准价，成交金额则以实际响应报价为准。残疾人福利性单位属于小型、微型企业的，不重复享受政策。</w:t>
      </w:r>
      <w:r>
        <w:rPr>
          <w:rFonts w:ascii="SimSun" w:hAnsi="SimSun" w:eastAsia="SimSun" w:cs="SimSun"/>
          <w:b/>
          <w:color w:val="000000"/>
          <w:sz w:val="21"/>
        </w:rPr>
        <w:t xml:space="preserve">服务类项目中供应商若使用退休人员，将不享受中小企业扶持政策。</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①填报“中小企业声明函”需严格按“工信部联企业〔2011〕300号通知中的《中小企业划型标准规定》进行。</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②若供应商提供的声明函或认定证明为虚假材料，按“政府采购法”相关规定处理并报请政府监管部门给予行政处罚。</w:t>
      </w:r>
      <w:r/>
    </w:p>
    <w:p>
      <w:pPr>
        <w:ind w:left="0" w:right="0" w:firstLine="42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③若为专门面向中小企业采购的项目或者采购包，不再执行价格评审优惠的扶持政策，投标人拟投入服务人员应当是中小企业依照《中华人民共和国劳动合同法》订立劳动合同的从业人员或者投标人承诺中标后聘请签订劳动合同的从业人员参与本项目。供应商提供声明函内容不实的，属于提供虚假材料谋取中标、成交，依照《中华人民共和国政府采购法》 等国家有关规定追究相应责任。</w:t>
      </w:r>
      <w:r/>
    </w:p>
    <w:p>
      <w:pPr>
        <w:ind w:left="0" w:right="0" w:firstLine="42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二、评分标准</w:t>
      </w:r>
      <w:r/>
    </w:p>
    <w:p>
      <w:pPr>
        <w:ind w:left="0" w:right="0" w:firstLine="422"/>
        <w:jc w:val="both"/>
        <w:spacing w:before="0" w:after="0" w:line="360" w:lineRule="auto"/>
        <w:rPr>
          <w:rFonts w:ascii="SimSun" w:hAnsi="SimSun" w:eastAsia="SimSun" w:cs="SimSun"/>
          <w:b/>
          <w:bCs/>
          <w:color w:val="000000"/>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（一）投标报价（10分）</w:t>
      </w:r>
      <w:r>
        <w:rPr>
          <w:rFonts w:ascii="Times New Roman" w:hAnsi="Times New Roman" w:eastAsia="Times New Roman" w:cs="Times New Roman"/>
          <w:sz w:val="21"/>
        </w:rPr>
      </w:r>
      <w:r/>
    </w:p>
    <w:p>
      <w:pPr>
        <w:ind w:left="0" w:right="0" w:firstLine="422"/>
        <w:jc w:val="both"/>
        <w:spacing w:before="0" w:after="0" w:line="360" w:lineRule="auto"/>
        <w:rPr>
          <w:rFonts w:ascii="SimSun" w:hAnsi="SimSun" w:eastAsia="SimSun" w:cs="SimSun"/>
          <w:color w:val="000000"/>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r>
      <w:r>
        <w:rPr>
          <w:rFonts w:ascii="SimSun" w:hAnsi="SimSun" w:eastAsia="SimSun" w:cs="SimSun"/>
          <w:color w:val="000000"/>
          <w:sz w:val="21"/>
        </w:rPr>
        <w:t xml:space="preserve">第一步：磋商报价低于或等于采购预算价格的，为有效磋商报价。超采购预算的磋商报价文件为未实质性响应文件，不参与评审。</w:t>
      </w:r>
      <w:r>
        <w:rPr>
          <w:rFonts w:ascii="Times New Roman" w:hAnsi="Times New Roman" w:eastAsia="Times New Roman" w:cs="Times New Roman"/>
          <w:sz w:val="21"/>
          <w:szCs w:val="21"/>
        </w:rPr>
      </w:r>
      <w:r/>
    </w:p>
    <w:p>
      <w:pPr>
        <w:ind w:left="0" w:right="0" w:firstLine="422"/>
        <w:jc w:val="both"/>
        <w:spacing w:before="0" w:after="0" w:line="360" w:lineRule="auto"/>
        <w:rPr>
          <w:rFonts w:ascii="SimSun" w:hAnsi="SimSun" w:eastAsia="SimSun" w:cs="SimSun"/>
          <w:color w:val="000000"/>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r>
      <w:r>
        <w:rPr>
          <w:rFonts w:ascii="SimSun" w:hAnsi="SimSun" w:eastAsia="SimSun" w:cs="SimSun"/>
          <w:color w:val="000000"/>
          <w:sz w:val="21"/>
        </w:rPr>
        <w:t xml:space="preserve">第二步：在所有有效磋商报价中满足采购文件要求，且磋商价格最低的磋商报价为评审基准价，其价格分为10分，其他磋商供应商的价格分按照下列公式计算（计算结果四舍五入保留两位小数）</w:t>
      </w:r>
      <w:r>
        <w:rPr>
          <w:rFonts w:ascii="Times New Roman" w:hAnsi="Times New Roman" w:eastAsia="Times New Roman" w:cs="Times New Roman"/>
          <w:sz w:val="21"/>
          <w:szCs w:val="21"/>
        </w:rPr>
      </w:r>
      <w:r/>
    </w:p>
    <w:p>
      <w:pPr>
        <w:ind w:left="0" w:right="0" w:firstLine="422"/>
        <w:jc w:val="both"/>
        <w:spacing w:before="0" w:after="0" w:line="360" w:lineRule="auto"/>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r>
      <w:r>
        <w:rPr>
          <w:rFonts w:ascii="SimSun" w:hAnsi="SimSun" w:eastAsia="SimSun" w:cs="SimSun"/>
          <w:color w:val="000000"/>
          <w:sz w:val="21"/>
        </w:rPr>
        <w:t xml:space="preserve">磋商报价得分＝（评审基准价/磋商报价）×10%×100</w:t>
      </w:r>
      <w:r>
        <w:rPr>
          <w:rFonts w:ascii="Times New Roman" w:hAnsi="Times New Roman" w:eastAsia="Times New Roman" w:cs="Times New Roman"/>
          <w:sz w:val="21"/>
          <w:szCs w:val="21"/>
        </w:rPr>
      </w:r>
      <w:r/>
    </w:p>
    <w:p>
      <w:pPr>
        <w:ind w:left="0" w:right="0" w:firstLine="42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（二）技术部分（63分）</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1.总体服务方案比较（42分）</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（1）养护巡查与考核方案（6分）</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总体方案说明清晰、详细、具有可操作性的得6分；总体方案说明较清晰、较详细、较具有可操作性的得3分；总体方案说明不清晰、不详细、可操作性较差的得1分；未提供不得分。</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（2）项目质量控制方案及措施（6分）</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质量控制方案及措施有针对性，方案和措施科学、完整、可行性强得6分；方案和措施较科学、较完整、较可行的得3分；方案和措施科学性、完整性、可行性较差得1分；未提供不得分。</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（3）安全生产和文明施工措施（6分）</w:t>
      </w:r>
      <w:r/>
    </w:p>
    <w:p>
      <w:pPr>
        <w:ind w:left="0" w:right="0" w:firstLine="420"/>
        <w:jc w:val="both"/>
        <w:spacing w:before="0" w:after="0" w:line="360" w:lineRule="auto"/>
        <w:tabs>
          <w:tab w:val="left" w:pos="28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安全生产和文明施工措施阐述详实、明确、具体、可实施性强的得6分；安全生产和文明施工措施阐述较为详细具有可实施性的得3分；安全生产和文明施工措施阐述、可实施性差得1分；未提供的不得分。</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（4）投资控制措施（6分）</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项目投资控制措施有针对性，方案和措施科学、完整、可行性强得6分；项目投资控制措施较科学、较完整、较可行的得3分；项目投资控制措施科学性、完整性、可行性一般得1分；未提供不得分。</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（5）平台信息管理措施（6分）</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平台信息管理措施全面完善、细节清晰、可操作性强的得6分；平台信息管理措施较全面完善、细节比较清晰、可操作性较强的得3分；平台信息管理措施一般、细节描述不清楚、可操作性差的得1分；未提供不得分。</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（6）台账管理措施（6分）</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台账管理措施阐述详尽，表达精准的得6分；台账管理措施分析合理，表达准确，略有缺失的得3分；台账管理措施分析略有涉及的得1分。未提供不得分。</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（7）应急预案（6分）</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应急预案方案完善、可行性强的得6分；应急预案方案一般、可行性一般的得3分；应急预案方案较差、可行性较差的得1分；未提供不得分。</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2.项目进度控制方案及措施（7分）</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项目进度控制方案及措施科学、完整、可行性强得7分；方案和措施较科学、较完整、较可行的得4分；方案和措施科学性、完整性、可行性一般得1分；未提供不得分。</w:t>
      </w:r>
      <w:r/>
    </w:p>
    <w:p>
      <w:pPr>
        <w:ind w:left="0" w:right="0" w:firstLine="420"/>
        <w:jc w:val="both"/>
        <w:spacing w:before="0" w:after="0" w:line="360" w:lineRule="auto"/>
        <w:rPr>
          <w:rFonts w:ascii="SimSun" w:hAnsi="SimSun" w:eastAsia="SimSun" w:cs="SimSun"/>
          <w:color w:val="000000"/>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3.监理组织协调（7分）</w:t>
      </w:r>
      <w:r>
        <w:rPr>
          <w:rFonts w:ascii="Times New Roman" w:hAnsi="Times New Roman" w:eastAsia="Times New Roman" w:cs="Times New Roman"/>
          <w:sz w:val="21"/>
        </w:rPr>
      </w:r>
      <w:r/>
    </w:p>
    <w:p>
      <w:pPr>
        <w:ind w:left="0" w:right="0" w:firstLine="420"/>
        <w:jc w:val="both"/>
        <w:spacing w:before="0" w:after="0" w:line="360" w:lineRule="auto"/>
        <w:rPr>
          <w:rFonts w:ascii="SimSun" w:hAnsi="SimSun" w:eastAsia="SimSun" w:cs="SimSun"/>
          <w:color w:val="000000"/>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r>
      <w:r>
        <w:rPr>
          <w:rFonts w:ascii="SimSun" w:hAnsi="SimSun" w:eastAsia="SimSun" w:cs="SimSun"/>
          <w:color w:val="000000"/>
          <w:sz w:val="21"/>
        </w:rPr>
        <w:t xml:space="preserve">组织协调措施全面完整、科学合理、针对性强、可行性高的得</w:t>
      </w: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分；组织协调措施较全面完整、较科学合理、针对性较强、可行性较高的得</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分；组织协调措施欠缺、针对性一般、可行性一般的得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分；未提供不得分。</w:t>
      </w:r>
      <w:r>
        <w:rPr>
          <w:rFonts w:ascii="Times New Roman" w:hAnsi="Times New Roman" w:eastAsia="Times New Roman" w:cs="Times New Roman"/>
          <w:sz w:val="21"/>
          <w:szCs w:val="21"/>
        </w:rPr>
      </w:r>
      <w:r/>
    </w:p>
    <w:p>
      <w:pPr>
        <w:ind w:left="0" w:right="0" w:firstLine="420"/>
        <w:jc w:val="both"/>
        <w:spacing w:before="0" w:after="0" w:line="360" w:lineRule="auto"/>
        <w:rPr>
          <w:rFonts w:ascii="SimSun" w:hAnsi="SimSun" w:eastAsia="SimSun" w:cs="SimSun"/>
          <w:color w:val="000000"/>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针对本项目的重点、技术难点分析、处理方法、监理对策（7分）</w:t>
      </w:r>
      <w:r>
        <w:rPr>
          <w:rFonts w:ascii="Times New Roman" w:hAnsi="Times New Roman" w:eastAsia="Times New Roman" w:cs="Times New Roman"/>
          <w:sz w:val="21"/>
          <w:szCs w:val="21"/>
        </w:rPr>
      </w:r>
      <w:r/>
    </w:p>
    <w:p>
      <w:pPr>
        <w:ind w:left="0" w:right="0" w:firstLine="420"/>
        <w:jc w:val="both"/>
        <w:spacing w:before="0" w:after="0" w:line="360" w:lineRule="auto"/>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r>
      <w:r>
        <w:rPr>
          <w:rFonts w:ascii="SimSun" w:hAnsi="SimSun" w:eastAsia="SimSun" w:cs="SimSun"/>
          <w:color w:val="000000"/>
          <w:sz w:val="21"/>
        </w:rPr>
        <w:t xml:space="preserve">针对本项目的重点、难点分析透彻，处理方法科学合理，监理对策针对性强、可行性高的得7分；针对本项目的重点、难点分析较透彻，处理方法较科学合理，监理对策针对性较强、可行性较高的得4分；针对本项目的重点、难点分析不够透彻，处理方法不够科学合理，监理对策针对性一般、可行性一般的得1分；未提供不得分。</w:t>
      </w:r>
      <w:r>
        <w:rPr>
          <w:rFonts w:ascii="Times New Roman" w:hAnsi="Times New Roman" w:eastAsia="Times New Roman" w:cs="Times New Roman"/>
          <w:sz w:val="21"/>
          <w:szCs w:val="21"/>
        </w:rPr>
      </w:r>
      <w:r/>
    </w:p>
    <w:p>
      <w:pPr>
        <w:ind w:left="0" w:right="0" w:firstLine="42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（三）人员配备（15分）</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1.总监理工程师（6分）</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（1）总监理工程师具有高级工程师职称的得2分，具有工程师职称的得1分。（响应文件中须提供职称证书扫描件，未提供的不得分。）</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（2）总监理工程师具有国家注册监理工程师且注册专业为市政公用工程的得2分（响应文件中须提供证书扫描件，未提供的不得分。）</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（3）总监理工程师具有一级建造师证书且注册专业为市政公用工程的得2分；（响应文件中须提供证书扫描件，未提供的不得分。）</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2.专业监理工程师（6分）</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专业监理工程师中具有园林绿化相关专业本科以上学历的，有1个得2分；具有园林绿化类相关专业专科学历的，有1个得1分，最高得2分。（响应文件中须提供专业监理工程师的毕业证书扫描件及最近任意一期的社保证明，未提供或提供不全的不得分。）</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（2）专业监理工程师中具有国家注册监理工程师证书且注册专业为市政公用工程的有一个得2分，最高得4分。（响应文件中须提供证书扫描件，未提供的不得分。）</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3.监理员（1分）</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监理员具有国家注册监理工程师岗位证书的得1分；（响应文件中须提供证书扫描件及最近任意一期的社保证明，未提供的不得分。）</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4.投资控制专员（2分）</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投资控制专员具有一级造价师证书的得2分。具有二级造价师证书的得1分。（响应文件中须提供证书扫描件及最近任意一期的社保证明，未提供的不得分。）</w:t>
      </w:r>
      <w:r/>
    </w:p>
    <w:p>
      <w:pPr>
        <w:ind w:left="0" w:right="0" w:firstLine="42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（四）企业类似业绩（6分）</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响应单位自2023年1月（自合同签订之日起）以来具有绿化养护监理项目业绩的，每提供一个得3分，最高得6分。</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（响应文件中提供完整清晰的合同复印件，未提供或提供不全不得分。）</w:t>
      </w:r>
      <w:r/>
    </w:p>
    <w:p>
      <w:pPr>
        <w:ind w:left="0" w:right="0" w:firstLine="42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（五）响应单位综合实力（6分）</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响应单位具有有效期内的质量体系认证、环境管理体系认证、职业健康安全管理体系认证，每提供一个得2分，最高得6分。（投标文件中提供上述证书扫描件及该证书在中国国家认证认可监督管理委员会网站 http://www.cnca.gov.cn/上查询的页面截图，未提供的不得分）</w:t>
      </w:r>
      <w:r/>
    </w:p>
    <w:p>
      <w:pPr>
        <w:ind w:left="0" w:right="0" w:firstLine="0"/>
        <w:spacing w:before="240" w:after="24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spacing w:before="240" w:after="24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2"/>
        <w:jc w:val="both"/>
        <w:spacing w:before="0" w:after="0" w:line="360" w:lineRule="auto"/>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备注：针对评分标准中评分的每一条，投标单位均应提供相关资料并作出相应说明供评委评判，不提供相关资料的视为不具备该项得分的条件。</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br w:type="page" w:clear="all"/>
      </w:r>
      <w:r/>
    </w:p>
    <w:p>
      <w:pPr>
        <w:pStyle w:val="952"/>
        <w:ind w:left="0" w:right="0" w:firstLine="0"/>
        <w:jc w:val="center"/>
        <w:spacing w:before="200" w:after="20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第五章 合同主要条款</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甲方（采购单位）：</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单位地址：</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p>
    <w:p>
      <w:pPr>
        <w:ind w:left="0" w:right="0" w:firstLine="0"/>
        <w:spacing w:before="240" w:after="24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乙方（成交单位）：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单位地址：</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p>
    <w:p>
      <w:pPr>
        <w:ind w:left="0" w:right="0" w:firstLine="0"/>
        <w:spacing w:before="240" w:after="24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根据苏州市政府采购项目编号</w:t>
      </w:r>
      <w:r>
        <w:rPr>
          <w:rFonts w:ascii="SimSun" w:hAnsi="SimSun" w:eastAsia="SimSun" w:cs="SimSun"/>
          <w:color w:val="000000"/>
          <w:sz w:val="21"/>
          <w:u w:val="single"/>
        </w:rPr>
        <w:t xml:space="preserve">                </w:t>
      </w:r>
      <w:r>
        <w:rPr>
          <w:rFonts w:ascii="SimSun" w:hAnsi="SimSun" w:eastAsia="SimSun" w:cs="SimSun"/>
          <w:color w:val="000000"/>
          <w:sz w:val="21"/>
        </w:rPr>
        <w:t xml:space="preserve">竞争性磋商文件及乙方的响应文件和成交通知书，甲乙双方就此次成交的</w:t>
      </w:r>
      <w:r>
        <w:rPr>
          <w:rFonts w:ascii="SimSun" w:hAnsi="SimSun" w:eastAsia="SimSun" w:cs="SimSun"/>
          <w:color w:val="000000"/>
          <w:sz w:val="21"/>
          <w:u w:val="single"/>
        </w:rPr>
        <w:t xml:space="preserve">                </w:t>
      </w:r>
      <w:r>
        <w:rPr>
          <w:rFonts w:ascii="SimSun" w:hAnsi="SimSun" w:eastAsia="SimSun" w:cs="SimSun"/>
          <w:color w:val="000000"/>
          <w:sz w:val="21"/>
        </w:rPr>
        <w:t xml:space="preserve">事宜，签订本合同书。</w:t>
      </w:r>
      <w:r/>
    </w:p>
    <w:p>
      <w:pPr>
        <w:ind w:left="0" w:right="0" w:firstLine="42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一、下列文件为本合同不可分割部分：</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①成交通知书；</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②磋商文件； </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③乙方的响应文件；</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④乙方在响应过程中所作的其它承诺、声明、书面澄清等；</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⑤合同附件（如有）；</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以上与本合同具有同等法律效力。</w:t>
      </w:r>
      <w:r/>
    </w:p>
    <w:p>
      <w:pPr>
        <w:ind w:left="0" w:right="0" w:firstLine="42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二、合同内容：</w:t>
      </w:r>
      <w:r/>
    </w:p>
    <w:p>
      <w:pPr>
        <w:ind w:left="0" w:right="0" w:firstLine="42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详见采购文件。</w:t>
      </w:r>
      <w:r/>
    </w:p>
    <w:p>
      <w:pPr>
        <w:ind w:left="0" w:right="0" w:firstLine="42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bCs/>
          <w:color w:val="000000"/>
          <w:sz w:val="21"/>
          <w:szCs w:val="21"/>
        </w:rPr>
        <w:t xml:space="preserve">三</w:t>
      </w:r>
      <w:r>
        <w:rPr>
          <w:rFonts w:ascii="SimSun" w:hAnsi="SimSun" w:eastAsia="SimSun" w:cs="SimSun"/>
          <w:b/>
          <w:bCs/>
          <w:color w:val="000000"/>
          <w:sz w:val="21"/>
          <w:szCs w:val="21"/>
        </w:rPr>
        <w:t xml:space="preserve">、</w:t>
      </w:r>
      <w:r>
        <w:rPr>
          <w:rFonts w:ascii="SimSun" w:hAnsi="SimSun" w:eastAsia="SimSun" w:cs="SimSun"/>
          <w:b/>
          <w:bCs/>
          <w:color w:val="000000"/>
          <w:sz w:val="21"/>
          <w:szCs w:val="21"/>
        </w:rPr>
        <w:t xml:space="preserve">服务期限</w:t>
      </w:r>
      <w:r>
        <w:rPr>
          <w:rFonts w:ascii="SimSun" w:hAnsi="SimSun" w:eastAsia="SimSun" w:cs="SimSun"/>
          <w:b/>
          <w:color w:val="000000"/>
          <w:sz w:val="21"/>
        </w:rPr>
        <w:t xml:space="preserve">：</w:t>
      </w:r>
      <w:r>
        <w:rPr>
          <w:rFonts w:ascii="SimSun" w:hAnsi="SimSun" w:eastAsia="SimSun" w:cs="SimSun"/>
          <w:color w:val="000000"/>
          <w:sz w:val="21"/>
        </w:rPr>
        <w:t xml:space="preserve">自签订合同之日起3年。</w:t>
      </w:r>
      <w:r/>
    </w:p>
    <w:p>
      <w:pPr>
        <w:ind w:left="0" w:right="0" w:firstLine="42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四、合同价格及支付：</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1.合同总价（大写）人民币</w:t>
      </w:r>
      <w:r>
        <w:rPr>
          <w:rFonts w:ascii="SimSun" w:hAnsi="SimSun" w:eastAsia="SimSun" w:cs="SimSun"/>
          <w:color w:val="000000"/>
          <w:sz w:val="21"/>
          <w:u w:val="single"/>
        </w:rPr>
        <w:t xml:space="preserve">        </w:t>
      </w:r>
      <w:r>
        <w:rPr>
          <w:rFonts w:ascii="SimSun" w:hAnsi="SimSun" w:eastAsia="SimSun" w:cs="SimSun"/>
          <w:color w:val="000000"/>
          <w:sz w:val="21"/>
        </w:rPr>
        <w:t xml:space="preserve">元（¥</w:t>
      </w:r>
      <w:r>
        <w:rPr>
          <w:rFonts w:ascii="SimSun" w:hAnsi="SimSun" w:eastAsia="SimSun" w:cs="SimSun"/>
          <w:color w:val="000000"/>
          <w:sz w:val="21"/>
          <w:u w:val="single"/>
        </w:rPr>
        <w:t xml:space="preserve">        </w:t>
      </w:r>
      <w:r>
        <w:rPr>
          <w:rFonts w:ascii="SimSun" w:hAnsi="SimSun" w:eastAsia="SimSun" w:cs="SimSun"/>
          <w:color w:val="000000"/>
          <w:sz w:val="21"/>
        </w:rPr>
        <w:t xml:space="preserve">）。合同总价包括但不限于人工费（包括人员工资、社会保险费用、福利费、加班费、人身意外伤害险等）、设备工具费、差旅费、交通费、成果编制费（含印刷费）、驻场服务费、代理服务费、项目利润、风险费、税费及政策性文件规定和合同所包含的所有风险、责任等各项应有费用。同时，除非合同条款中另有规定，否则，乙方所报价格在合同实施期间不因市场变化因素而变动。</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2.付款步骤：</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合同签订生效后，原则上甲方每三个月支付一次，每次支付该三个月服务费金额的70%，具体需结合区财政进度进行拨款，余款在服务周期结束后一年内付清。</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依据考核细则（详见附件），当月得分＜90分的，按比例扣除相应的服务费，每低1分扣除3%的月度服务费。即：</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当月得分≥90分时，实际月服务费=中标金额/36；</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当月得分＜90分时，实际月服务费=中标金额/36*（1-（90-当月得分）*3%）。</w:t>
      </w:r>
      <w:r/>
    </w:p>
    <w:p>
      <w:pPr>
        <w:ind w:left="0" w:right="0" w:firstLine="42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3.乙方要求付款时应提供合格的发票。</w:t>
      </w:r>
      <w:r/>
    </w:p>
    <w:p>
      <w:pPr>
        <w:ind w:left="0" w:right="0" w:firstLine="42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4.付款方式：银行转账，具体支付方式甲方有权根据财务安排自主选择。</w:t>
      </w:r>
      <w:r/>
    </w:p>
    <w:p>
      <w:pPr>
        <w:ind w:left="0" w:right="0" w:firstLine="42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5.根据现行税法对甲方征收的与本合同有关的一切税费均由甲方承担；根据现行税法对乙方征收的与本合同有关的一切税费均由乙方承担。</w:t>
      </w:r>
      <w:r/>
    </w:p>
    <w:p>
      <w:pPr>
        <w:ind w:left="0" w:right="0" w:firstLine="42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6.甲方支付此项费用外不再承担其它任何费用，包括因人员辞退、工伤事故等造成的赔偿金或补偿金等。</w:t>
      </w:r>
      <w:r/>
    </w:p>
    <w:p>
      <w:pPr>
        <w:ind w:left="0" w:right="0" w:firstLine="42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7.若遇国家或地方政府政策性调整，双方另行协商。</w:t>
      </w:r>
      <w:r/>
    </w:p>
    <w:p>
      <w:pPr>
        <w:ind w:left="0" w:right="0" w:firstLine="422"/>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五、质量要求：</w:t>
      </w:r>
      <w:r/>
    </w:p>
    <w:p>
      <w:pPr>
        <w:ind w:left="0" w:right="0" w:firstLine="42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1.乙方提供的服务均须为符合国家相关规范要求的合格正规服务。</w:t>
      </w:r>
      <w:r/>
    </w:p>
    <w:p>
      <w:pPr>
        <w:ind w:left="0" w:right="0" w:firstLine="42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乙方应能保证所提供服务涉及到的知识产权是合法取得，并享有完整的知识产权，不会因为甲方的使用而被责令停止使用、追偿或要求赔偿损失，如出现此情况，一切经济和法律责任均由乙方承担。乙方提供的所有服务必须质量符合国家通用标准，如出现问题，乙方负责解决，发生的费用由乙方负责。</w:t>
      </w:r>
      <w:r/>
    </w:p>
    <w:p>
      <w:pPr>
        <w:ind w:left="0" w:right="0" w:firstLine="422"/>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六、甲、乙双方的责任：</w:t>
      </w:r>
      <w:r/>
    </w:p>
    <w:p>
      <w:pPr>
        <w:ind w:left="0" w:right="0" w:firstLine="42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（一）甲方责任：</w:t>
      </w:r>
      <w:r/>
    </w:p>
    <w:p>
      <w:pPr>
        <w:ind w:left="0" w:right="0" w:firstLine="42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1.甲方自本合同生效后向乙方提供本项目相关的资料，并指定专人作为甲方联系人予以协调工作。加强与乙方沟通，交流情况，互通信息。</w:t>
      </w:r>
      <w:r/>
    </w:p>
    <w:p>
      <w:pPr>
        <w:ind w:left="0" w:right="0" w:firstLine="42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2.甲方应积极配合乙方工作人员履行好合同所规定的职责和义务。</w:t>
      </w:r>
      <w:r/>
    </w:p>
    <w:p>
      <w:pPr>
        <w:ind w:left="0" w:right="0" w:firstLine="42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3.定期组织对乙方服务质量的考核、收集意见和建议，并将结果及时通报乙方。</w:t>
      </w:r>
      <w:r/>
    </w:p>
    <w:p>
      <w:pPr>
        <w:ind w:left="0" w:right="0" w:firstLine="42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4.为乙方有效开展工作提供其他必要的便利。</w:t>
      </w:r>
      <w:r/>
    </w:p>
    <w:p>
      <w:pPr>
        <w:ind w:left="0" w:right="0" w:firstLine="42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（二）乙方责任：</w:t>
      </w:r>
      <w:r/>
    </w:p>
    <w:p>
      <w:pPr>
        <w:ind w:left="0" w:right="0" w:firstLine="42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1.严格按照甲方要求进行服务，接受甲方人员的安排、指导和监督。</w:t>
      </w:r>
      <w:r/>
    </w:p>
    <w:p>
      <w:pPr>
        <w:ind w:left="0" w:right="0" w:firstLine="42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2.对服务项目包干范围的服务、管理承担全部责任，严格履行合同条款。</w:t>
      </w:r>
      <w:r/>
    </w:p>
    <w:p>
      <w:pPr>
        <w:ind w:left="0" w:right="0" w:firstLine="42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3.进场后，严格按照甲方要求进行服务。</w:t>
      </w:r>
      <w:r/>
    </w:p>
    <w:p>
      <w:pPr>
        <w:ind w:left="0" w:right="0" w:firstLine="42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七、违约责任：</w:t>
      </w:r>
      <w:r/>
    </w:p>
    <w:p>
      <w:pPr>
        <w:ind w:left="0" w:right="0" w:firstLine="42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1.合同一方不履行合同义务或者履行合同义务不符合约定的，应当承担继续履行、采取补救措施或者赔偿损失等违约责任。</w:t>
      </w:r>
      <w:r/>
    </w:p>
    <w:p>
      <w:pPr>
        <w:ind w:left="0" w:right="0" w:firstLine="42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2.甲方违约责任：</w:t>
      </w:r>
      <w:r/>
    </w:p>
    <w:p>
      <w:pPr>
        <w:ind w:left="0" w:right="0" w:firstLine="42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（1）在合同生效后，甲方无理由要求终止服务的，应向乙方偿付合同总价款的5%，作为违约金，违约金不足以补偿损失的，乙方有权要求甲方补足。</w:t>
      </w:r>
      <w:r/>
    </w:p>
    <w:p>
      <w:pPr>
        <w:ind w:left="0" w:right="0" w:firstLine="42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（2）甲方逾期付款的应按照逾期付款金额的每天万分之四支付逾期付款违约金。</w:t>
      </w:r>
      <w:r/>
    </w:p>
    <w:p>
      <w:pPr>
        <w:ind w:left="0" w:right="0" w:firstLine="42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（3）甲方违反合同规定，拒绝接受乙方提供服务，应当承担乙方由此造成的损失。</w:t>
      </w:r>
      <w:r/>
    </w:p>
    <w:p>
      <w:pPr>
        <w:ind w:left="0" w:right="0" w:firstLine="42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3.乙方违约责任：</w:t>
      </w:r>
      <w:r/>
    </w:p>
    <w:p>
      <w:pPr>
        <w:ind w:left="0" w:right="0" w:firstLine="42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（1）乙方不能提供服务（逾期超过五天视为不能提供），或提供服务不合格从而影响甲方按期正常运作的，应向甲方偿付合同总价款5%的违约金，违约金不足以补偿损失的甲方有权要求乙方补足。</w:t>
      </w:r>
      <w:r/>
    </w:p>
    <w:p>
      <w:pPr>
        <w:ind w:left="0" w:right="0" w:firstLine="42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（2）乙方逾期提供服务的，应与甲方协商，甲方仍有需求的，乙方应立即提供服务并且按照逾期服务的每天万分之四支付逾期违约金，同时承担甲方因此遭致的损失费用。</w:t>
      </w:r>
      <w:r/>
    </w:p>
    <w:p>
      <w:pPr>
        <w:ind w:left="0" w:right="0" w:firstLine="42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（3）乙方对提供的服务意见出现的遗漏或错误，乙方应在甲方限定的时间内完成修改或补充。</w:t>
      </w:r>
      <w:r/>
    </w:p>
    <w:p>
      <w:pPr>
        <w:ind w:left="0" w:right="0" w:firstLine="42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八、保密要求：</w:t>
      </w:r>
      <w:r/>
    </w:p>
    <w:p>
      <w:pPr>
        <w:ind w:left="0" w:right="0" w:firstLine="42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乙方及其工作人员除了应当遵守本合同有关资料要求及成果归属的规定外，还应当对服务过程中接触的所有资料及工作成果保密，不得向甲方指定人员以外的其他单位和人员泄露排查信息。因乙方原因造成相关资料和成果的泄露，甲方有权立即解除本合同，并承担相应经济和法律责任。</w:t>
      </w:r>
      <w:r/>
    </w:p>
    <w:p>
      <w:pPr>
        <w:ind w:left="0" w:right="0" w:firstLine="42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2.乙方及其工作人员违反保密规定或者法律及本合同规定的其他禁止性规定，乙方承担一切经济和法律责任。</w:t>
      </w:r>
      <w:r/>
    </w:p>
    <w:p>
      <w:pPr>
        <w:ind w:left="0" w:right="0" w:firstLine="422"/>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九、不可抗力：</w:t>
      </w:r>
      <w:r/>
    </w:p>
    <w:p>
      <w:pPr>
        <w:ind w:left="0" w:right="0" w:firstLine="42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1.不可抗力（或甲、乙双方不能控制的原因）不能履行合同的，根据不可抗力的影响，部分或者全部免除责任，但合同一方迟延履行后发生不可抗力的，不能免除责任。</w:t>
      </w:r>
      <w:r/>
    </w:p>
    <w:p>
      <w:pPr>
        <w:ind w:left="0" w:right="0" w:firstLine="42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2.合同一方因不可抗力不能履行合同的，应当及时通知对方，以减轻可能给对方造成损失，并应当在合理期限内提供证明。</w:t>
      </w:r>
      <w:r/>
    </w:p>
    <w:p>
      <w:pPr>
        <w:ind w:left="0" w:right="0" w:firstLine="422"/>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十、合同的解除、转让：</w:t>
      </w:r>
      <w:r/>
    </w:p>
    <w:p>
      <w:pPr>
        <w:ind w:left="0" w:right="0" w:firstLine="42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1.甲方和乙方协商一致，可以解除合同。</w:t>
      </w:r>
      <w:r/>
    </w:p>
    <w:p>
      <w:pPr>
        <w:ind w:left="0" w:right="0" w:firstLine="42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2.有下列情况之一，合同方可以解除合同：</w:t>
      </w:r>
      <w:r/>
    </w:p>
    <w:p>
      <w:pPr>
        <w:ind w:left="0" w:right="0" w:firstLine="42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（1）因不可抗力致使不能实现合同目的，未受不可抗力影响的一方有权解除合同；</w:t>
      </w:r>
      <w:r/>
    </w:p>
    <w:p>
      <w:pPr>
        <w:ind w:left="0" w:right="0" w:firstLine="42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（2）因合同一方违约导致合同不能履行，另一方有权解除合同；</w:t>
      </w:r>
      <w:r/>
    </w:p>
    <w:p>
      <w:pPr>
        <w:ind w:left="0" w:right="0" w:firstLine="42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3.有权解除合同的一方，应当在违约事实或不可抗力发生之后30天内书面通知对方提出解除合同，合同在书面通知到达对方时解除。</w:t>
      </w:r>
      <w:r/>
    </w:p>
    <w:p>
      <w:pPr>
        <w:ind w:left="0" w:right="0" w:firstLine="42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4.合同的部分和全部都不得转让。</w:t>
      </w:r>
      <w:r/>
    </w:p>
    <w:p>
      <w:pPr>
        <w:ind w:left="0" w:right="0" w:firstLine="422"/>
        <w:jc w:val="both"/>
        <w:spacing w:before="0" w:after="0" w:line="360" w:lineRule="auto"/>
        <w:rPr>
          <w:rFonts w:ascii="SimSun" w:hAnsi="SimSun" w:eastAsia="SimSun" w:cs="SimSun"/>
          <w:b/>
          <w:bCs/>
          <w:color w:val="000000"/>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十一、未尽事宜：</w:t>
      </w:r>
      <w:r/>
    </w:p>
    <w:p>
      <w:pPr>
        <w:ind w:left="0" w:right="0" w:firstLine="422"/>
        <w:jc w:val="both"/>
        <w:spacing w:before="0" w:after="0" w:line="360" w:lineRule="auto"/>
        <w:rPr>
          <w:rFonts w:ascii="SimSun" w:hAnsi="SimSun" w:eastAsia="SimSun" w:cs="SimSun"/>
          <w:color w:val="000000"/>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r>
      <w:r>
        <w:rPr>
          <w:rFonts w:ascii="SimSun" w:hAnsi="SimSun" w:eastAsia="SimSun" w:cs="SimSun"/>
          <w:color w:val="000000"/>
          <w:sz w:val="21"/>
        </w:rPr>
        <w:t xml:space="preserve">合同在执行过程中出现的未尽事宜，双方在不违背本合同和招标文件的原则下协商解决，协商结果以书面形式盖章记录在案，作为本合同的附件与本合同具有同等效力，但需要向甲方提交一份备存。</w:t>
      </w:r>
      <w:r/>
    </w:p>
    <w:p>
      <w:pPr>
        <w:ind w:left="0" w:right="0" w:firstLine="422"/>
        <w:jc w:val="both"/>
        <w:spacing w:before="0" w:after="0" w:line="360" w:lineRule="auto"/>
        <w:rPr>
          <w:rFonts w:ascii="SimSun" w:hAnsi="SimSun" w:eastAsia="SimSun" w:cs="SimSun"/>
          <w:b/>
          <w:bCs/>
          <w:color w:val="000000"/>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r>
      <w:r>
        <w:rPr>
          <w:rFonts w:ascii="SimSun" w:hAnsi="SimSun" w:eastAsia="SimSun" w:cs="SimSun"/>
          <w:b/>
          <w:color w:val="000000"/>
          <w:sz w:val="21"/>
        </w:rPr>
        <w:t xml:space="preserve">十二、合同生效及其他：</w:t>
      </w:r>
      <w:r/>
    </w:p>
    <w:p>
      <w:pPr>
        <w:ind w:left="0" w:right="0" w:firstLine="422"/>
        <w:jc w:val="both"/>
        <w:spacing w:before="0" w:after="0" w:line="360" w:lineRule="auto"/>
        <w:rPr>
          <w:rFonts w:ascii="SimSun" w:hAnsi="SimSun" w:eastAsia="SimSun" w:cs="SimSun"/>
          <w:color w:val="000000"/>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r>
      <w:r>
        <w:rPr>
          <w:rFonts w:ascii="SimSun" w:hAnsi="SimSun" w:eastAsia="SimSun" w:cs="SimSun"/>
          <w:color w:val="000000"/>
          <w:sz w:val="21"/>
        </w:rPr>
        <w:t xml:space="preserve">1.乙方除应做好职工的安全生产教育外，还应为服务人员提供必要的劳动保护条件，还应为服务人员办理人身安全保险和意外伤害险，一切安全责任事故均由乙方负责（保险种类由乙方自行选择）；</w:t>
      </w:r>
      <w:r/>
    </w:p>
    <w:p>
      <w:pPr>
        <w:ind w:left="0" w:right="0" w:firstLine="422"/>
        <w:jc w:val="both"/>
        <w:spacing w:before="0" w:after="0" w:line="360" w:lineRule="auto"/>
        <w:rPr>
          <w:rFonts w:ascii="SimSun" w:hAnsi="SimSun" w:eastAsia="SimSun" w:cs="SimSun"/>
          <w:color w:val="000000"/>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r>
      <w:r>
        <w:rPr>
          <w:rFonts w:ascii="SimSun" w:hAnsi="SimSun" w:eastAsia="SimSun" w:cs="SimSun"/>
          <w:color w:val="000000"/>
          <w:sz w:val="21"/>
        </w:rPr>
        <w:t xml:space="preserve">2.本合同未尽之处双方协商解决，解决不成，双方向甲方所在地的人民法院提起诉讼。</w:t>
      </w:r>
      <w:r/>
    </w:p>
    <w:p>
      <w:pPr>
        <w:ind w:left="0" w:right="0" w:firstLine="422"/>
        <w:jc w:val="both"/>
        <w:spacing w:before="0" w:after="0" w:line="360" w:lineRule="auto"/>
        <w:rPr>
          <w:rFonts w:ascii="SimSun" w:hAnsi="SimSun" w:eastAsia="SimSun" w:cs="SimSun"/>
          <w:color w:val="000000"/>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r>
      <w:r>
        <w:rPr>
          <w:rFonts w:ascii="SimSun" w:hAnsi="SimSun" w:eastAsia="SimSun" w:cs="SimSun"/>
          <w:color w:val="000000"/>
          <w:sz w:val="21"/>
        </w:rPr>
        <w:t xml:space="preserve">3.本合同经双方法定代表人或授权代表签字（或盖章）并经单位盖章后生效，并需在规定时间内进行网上公示。</w:t>
      </w:r>
      <w:r/>
    </w:p>
    <w:p>
      <w:pPr>
        <w:ind w:left="0" w:right="0" w:firstLine="42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r>
      <w:r>
        <w:rPr>
          <w:rFonts w:ascii="SimSun" w:hAnsi="SimSun" w:eastAsia="SimSun" w:cs="SimSun"/>
          <w:color w:val="000000"/>
          <w:sz w:val="21"/>
        </w:rPr>
        <w:t xml:space="preserve">4.合同份数：本合同一式陆份，甲方、乙方、采购代理机构各执贰份。</w:t>
      </w:r>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5.本合同未尽事宜应按《中华人民共和国民法典》、《中华人民共和国政府采购法》以及其它相关法律、法规之规定解释。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bl>
      <w:tblPr>
        <w:tblStyle w:val="99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63"/>
        <w:gridCol w:w="4105"/>
      </w:tblGrid>
      <w:tr>
        <w:trPr>
          <w:trHeight w:val="371"/>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6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甲方（盖章）：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10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乙方（盖章）：</w:t>
            </w:r>
            <w:r/>
          </w:p>
        </w:tc>
      </w:tr>
      <w:tr>
        <w:trPr>
          <w:trHeight w:val="31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6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法定（授权）代表人（签字）：</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10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法定（授权）代表人（签字）：</w:t>
            </w:r>
            <w:r/>
          </w:p>
        </w:tc>
      </w:tr>
      <w:tr>
        <w:trPr>
          <w:trHeight w:val="468"/>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6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10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w:t>
            </w:r>
            <w:r/>
          </w:p>
        </w:tc>
      </w:tr>
      <w:tr>
        <w:trPr>
          <w:trHeight w:val="468"/>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6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10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p>
        </w:tc>
      </w:tr>
      <w:tr>
        <w:trPr>
          <w:trHeight w:val="468"/>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6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10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帐号：</w:t>
            </w:r>
            <w:r/>
          </w:p>
        </w:tc>
      </w:tr>
      <w:tr>
        <w:trPr>
          <w:trHeight w:val="468"/>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6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10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tc>
      </w:tr>
    </w:tbl>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113" w:firstLine="0"/>
        <w:spacing w:before="0" w:after="0" w:line="85" w:lineRule="atLeast"/>
        <w:tabs>
          <w:tab w:val="left" w:pos="924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w:t>
      </w:r>
      <w:r/>
    </w:p>
    <w:p>
      <w:pPr>
        <w:ind w:left="0" w:right="115" w:firstLine="0"/>
        <w:jc w:val="center"/>
        <w:spacing w:before="0" w:after="0" w:line="85" w:lineRule="atLeast"/>
        <w:tabs>
          <w:tab w:val="left" w:pos="924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考核细则</w:t>
      </w:r>
      <w:r/>
    </w:p>
    <w:tbl>
      <w:tblPr>
        <w:tblStyle w:val="99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03"/>
        <w:gridCol w:w="914"/>
        <w:gridCol w:w="6227"/>
        <w:gridCol w:w="544"/>
        <w:gridCol w:w="396"/>
      </w:tblGrid>
      <w:tr>
        <w:trPr>
          <w:trHeight w:val="4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2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考核内容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得分</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914"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组织管理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巡检工作人员队伍稳定,服务态度好，着装标识统一、佩戴胸牌、车辆安排到位、车辆巡检标识放置规范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巡查人员出勤率及每日巡查情况上报、法定节假日、双休日值班到位率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参加绿化中心组织的养护会议次数及会议前准备情况、参加绿化中心组织的养护检查次数和检查质量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914"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技术管理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对城区主要道路绿化、公园绿化的检查覆盖面是否全面；问题反馈是否及时。</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5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vMerge w:val="continue"/>
            <w:textDirection w:val="lrTb"/>
            <w:noWrap w:val="false"/>
          </w:tcPr>
          <w:p>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6227"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对区管范围草花花境的检查覆盖面是否全面；问题反馈是否及时。</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8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vMerge w:val="continue"/>
            <w:textDirection w:val="lrTb"/>
            <w:noWrap w:val="false"/>
          </w:tcPr>
          <w:p>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2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每日巡查情况动态、轨迹上报真实及时。</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对养护路段进行有针对性的养护技术指导或提出有建设性的建议，以书面报告形式上报，每月不少于2次。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有效提升养护范围内的绿化养护质量，效果佳得5分，效果一般得3分，效果不佳不得分。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对未经审批的开挖迁移，巡查人员应及时发现，采取有效措施，立即叫停后报园林绿化中心，及时提出整改通知的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1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资料台账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高标准完成日志上报，时间及时，内容完善、无缺失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高质量完成每周工作计划及全覆盖巡查情况书面材料。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制定每月重点检查计划，当月3日前报园绿中心。绿化检查情况通报（书面通报及PPT汇报）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7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台账资料归档及时、清楚、完整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8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914"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其他方面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临时性任务和指令性工作的配合程度，高效完成得10分；基本完成得6分；超时完成3分；不配合得0分。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9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工单确认、核实及时得10分；超时得3分；由第三方检查考核单位原因导致工单再交办的得0分。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6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合计</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2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2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1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打分人：</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62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40"/>
        </w:trPr>
        <w:tc>
          <w:tcPr>
            <w:gridSpan w:val="5"/>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84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注：绿化巡检服务考核表由考核小组进行评分，每月组织一次考评。</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pStyle w:val="952"/>
        <w:ind w:left="0" w:right="0" w:firstLine="0"/>
        <w:jc w:val="center"/>
        <w:spacing w:before="200" w:after="200" w:line="9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第六章 附件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附件1：开标一览表（具体按照“苏采云”系统填报）</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开标一览表</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响应单位全称（加盖公章）：</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项目编号：</w:t>
      </w:r>
      <w:r/>
    </w:p>
    <w:tbl>
      <w:tblPr>
        <w:tblStyle w:val="99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750"/>
        <w:gridCol w:w="4575"/>
      </w:tblGrid>
      <w:tr>
        <w:trPr>
          <w:trHeight w:val="56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5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57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报价（元）</w:t>
            </w:r>
            <w:r/>
          </w:p>
        </w:tc>
      </w:tr>
      <w:tr>
        <w:trPr>
          <w:trHeight w:val="6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5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7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14"/>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2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响应报价</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人民币    （</w:t>
            </w:r>
            <w:r>
              <w:rPr>
                <w:rFonts w:ascii="SimSun" w:hAnsi="SimSun" w:eastAsia="SimSun" w:cs="SimSun"/>
                <w:color w:val="000000"/>
                <w:sz w:val="21"/>
              </w:rPr>
              <w:t xml:space="preserve">¥    </w:t>
            </w:r>
            <w:r>
              <w:rPr>
                <w:rFonts w:ascii="SimSun" w:hAnsi="SimSun" w:eastAsia="SimSun" w:cs="SimSun"/>
                <w:color w:val="000000"/>
                <w:sz w:val="22"/>
              </w:rPr>
              <w:t xml:space="preserve">     ）</w:t>
            </w:r>
            <w:r/>
          </w:p>
        </w:tc>
      </w:tr>
    </w:tbl>
    <w:p>
      <w:pPr>
        <w:ind w:left="0" w:right="30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响应单位：（公章）</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法定代表人或代理人：（签字或签章）</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附件2：响应报价明细表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响应报价明细表</w:t>
      </w:r>
      <w:r/>
    </w:p>
    <w:tbl>
      <w:tblPr>
        <w:tblStyle w:val="99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08"/>
        <w:gridCol w:w="2017"/>
        <w:gridCol w:w="1208"/>
        <w:gridCol w:w="1208"/>
        <w:gridCol w:w="1208"/>
        <w:gridCol w:w="1208"/>
        <w:gridCol w:w="1209"/>
      </w:tblGrid>
      <w:tr>
        <w:trPr>
          <w:trHeight w:val="50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1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费用项目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0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rHeight w:val="4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9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4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4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4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4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4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4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18"/>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68"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响应报价</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人民币    （</w:t>
            </w:r>
            <w:r>
              <w:rPr>
                <w:rFonts w:ascii="SimSun" w:hAnsi="SimSun" w:eastAsia="SimSun" w:cs="SimSun"/>
                <w:color w:val="000000"/>
                <w:sz w:val="21"/>
              </w:rPr>
              <w:t xml:space="preserve">¥    </w:t>
            </w:r>
            <w:r>
              <w:rPr>
                <w:rFonts w:ascii="SimSun" w:hAnsi="SimSun" w:eastAsia="SimSun" w:cs="SimSun"/>
                <w:color w:val="000000"/>
                <w:sz w:val="22"/>
              </w:rPr>
              <w:t xml:space="preserve">     ）</w:t>
            </w:r>
            <w:r/>
          </w:p>
        </w:tc>
      </w:tr>
    </w:tbl>
    <w:p>
      <w:pPr>
        <w:ind w:left="0" w:right="0" w:firstLine="479"/>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w:t>
      </w:r>
      <w:r/>
    </w:p>
    <w:p>
      <w:pPr>
        <w:ind w:left="0" w:right="0" w:firstLine="479"/>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w:t>
      </w:r>
      <w:r>
        <w:rPr>
          <w:rFonts w:ascii="SimSun" w:hAnsi="SimSun" w:eastAsia="SimSun" w:cs="SimSun"/>
          <w:b/>
          <w:color w:val="000000"/>
          <w:sz w:val="21"/>
        </w:rPr>
        <w:t xml:space="preserve">以上表格仅供参考，供应商可根据实际费用构成自行拟制。</w:t>
      </w:r>
      <w:r/>
    </w:p>
    <w:p>
      <w:pPr>
        <w:ind w:left="0" w:right="0" w:firstLine="479"/>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w:t>
      </w:r>
      <w:r>
        <w:rPr>
          <w:rFonts w:ascii="SimSun" w:hAnsi="SimSun" w:eastAsia="SimSun" w:cs="SimSun"/>
          <w:b/>
          <w:color w:val="000000"/>
          <w:sz w:val="21"/>
        </w:rPr>
        <w:t xml:space="preserve">此表合计金额须与开标一览表所报金额保持一致，若不一致的，以开标一览表为准。</w:t>
      </w:r>
      <w:r/>
    </w:p>
    <w:p>
      <w:pPr>
        <w:ind w:left="0" w:right="-21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21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21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响应单位：（公章）</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法定代表人或代理人：（签字或签章）</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附件3：关于资格文件声明函</w:t>
      </w:r>
      <w:r/>
    </w:p>
    <w:p>
      <w:pPr>
        <w:ind w:left="0" w:right="0" w:firstLine="42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关于资格文件的声明函</w:t>
      </w:r>
      <w:r/>
    </w:p>
    <w:p>
      <w:pPr>
        <w:ind w:left="0" w:right="0" w:firstLine="42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江苏鸿渐投资咨询管理有限公司 </w:t>
      </w:r>
      <w:r>
        <w:rPr>
          <w:rFonts w:ascii="SimSun" w:hAnsi="SimSun" w:eastAsia="SimSun" w:cs="SimSun"/>
          <w:color w:val="000000"/>
          <w:sz w:val="21"/>
        </w:rPr>
        <w:t xml:space="preserve">：</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本公司愿就由贵公司组织实施的编号为</w:t>
      </w:r>
      <w:r>
        <w:rPr>
          <w:rFonts w:ascii="SimSun" w:hAnsi="SimSun" w:eastAsia="SimSun" w:cs="SimSun"/>
          <w:color w:val="000000"/>
          <w:sz w:val="21"/>
          <w:u w:val="single"/>
        </w:rPr>
        <w:t xml:space="preserve">              </w:t>
      </w:r>
      <w:r>
        <w:rPr>
          <w:rFonts w:ascii="SimSun" w:hAnsi="SimSun" w:eastAsia="SimSun" w:cs="SimSun"/>
          <w:color w:val="000000"/>
          <w:sz w:val="21"/>
        </w:rPr>
        <w:t xml:space="preserve">号的磋商采购活动进行响应。本公司所提交的响应文件中所有关于磋商资格的文件、证明和陈述均是真实的、准确的。若与真实情况不符，本公司愿意承担由此而产生的一切后果。</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响应单位：（公章）</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法定代表人或代理人：（签字或签章）</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附件4：响应单位情况表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响应单位情况表</w:t>
      </w:r>
      <w:r/>
    </w:p>
    <w:tbl>
      <w:tblPr>
        <w:tblStyle w:val="99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953"/>
        <w:gridCol w:w="1959"/>
        <w:gridCol w:w="1419"/>
        <w:gridCol w:w="1288"/>
        <w:gridCol w:w="1082"/>
      </w:tblGrid>
      <w:tr>
        <w:trPr>
          <w:trHeight w:val="5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5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59"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9"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成立日期</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5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9"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9"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注册资本</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top"/>
            <w:textDirection w:val="lrTb"/>
            <w:noWrap w:val="false"/>
          </w:tcPr>
          <w:p>
            <w:pPr>
              <w:ind w:left="0" w:right="0" w:firstLine="21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5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经营范围</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8"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5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职工人数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9"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07"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其中：有中高级以上职称的人数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82"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5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资产总计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净资产</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5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股东权益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销售收入</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年          万元</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5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实现利润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9" w:type="dxa"/>
            <w:vAlign w:val="top"/>
            <w:textDirection w:val="lrTb"/>
            <w:noWrap w:val="false"/>
          </w:tcPr>
          <w:p>
            <w:pPr>
              <w:ind w:left="0" w:right="0" w:firstLine="63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年  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9"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5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营业面积（含厂房面积）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平方米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9"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其中：</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自有面积         平方米</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承租面积         平方米</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5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单位简历及内设机构情况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8"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5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单位优势及特长</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8"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5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近三年来完成或正在履行的重大合同情况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8"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5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最近2年内在经营过程中受到何种奖励或处分</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8"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（包括财政、工商、税务、物价、技监部门稽查情况和结果）</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5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最近3年内有无因售假、售劣或是其他原因被消费者投诉或起诉的情况及说明</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8"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（包括解决方式和结果）</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5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最近3年内主要负责人有无因经济犯罪被司法机关追究的情况及说明</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8"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5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其他需要说明的情况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8"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响应单位：（公章）</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法定代表人或代理人：（签字或签章）</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附件5：法定代表人授权委托书</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法定代表人授权委托书</w:t>
      </w:r>
      <w:r/>
    </w:p>
    <w:p>
      <w:pPr>
        <w:ind w:left="0" w:right="0" w:firstLine="84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本授权委托书声明：我</w:t>
      </w:r>
      <w:r>
        <w:rPr>
          <w:rFonts w:ascii="SimSun" w:hAnsi="SimSun" w:eastAsia="SimSun" w:cs="SimSun"/>
          <w:color w:val="000000"/>
          <w:sz w:val="21"/>
          <w:u w:val="single"/>
        </w:rPr>
        <w:t xml:space="preserve">           </w:t>
      </w:r>
      <w:r>
        <w:rPr>
          <w:rFonts w:ascii="SimSun" w:hAnsi="SimSun" w:eastAsia="SimSun" w:cs="SimSun"/>
          <w:color w:val="000000"/>
          <w:sz w:val="21"/>
        </w:rPr>
        <w:t xml:space="preserve">（姓名）系</w:t>
      </w:r>
      <w:r>
        <w:rPr>
          <w:rFonts w:ascii="SimSun" w:hAnsi="SimSun" w:eastAsia="SimSun" w:cs="SimSun"/>
          <w:color w:val="000000"/>
          <w:sz w:val="21"/>
          <w:u w:val="single"/>
        </w:rPr>
        <w:t xml:space="preserve">     （供应商名称）</w:t>
      </w:r>
      <w:r>
        <w:rPr>
          <w:rFonts w:ascii="SimSun" w:hAnsi="SimSun" w:eastAsia="SimSun" w:cs="SimSun"/>
          <w:b/>
          <w:i/>
          <w:color w:val="000000"/>
          <w:sz w:val="21"/>
          <w:u w:val="single"/>
        </w:rPr>
        <w:t xml:space="preserve">  </w:t>
      </w:r>
      <w:r>
        <w:rPr>
          <w:rFonts w:ascii="SimSun" w:hAnsi="SimSun" w:eastAsia="SimSun" w:cs="SimSun"/>
          <w:color w:val="000000"/>
          <w:sz w:val="21"/>
        </w:rPr>
        <w:t xml:space="preserve">的法定代表人（负责人），现授权委托</w:t>
      </w:r>
      <w:r>
        <w:rPr>
          <w:rFonts w:ascii="SimSun" w:hAnsi="SimSun" w:eastAsia="SimSun" w:cs="SimSun"/>
          <w:color w:val="000000"/>
          <w:sz w:val="21"/>
          <w:u w:val="single"/>
        </w:rPr>
        <w:t xml:space="preserve">        </w:t>
      </w:r>
      <w:r>
        <w:rPr>
          <w:rFonts w:ascii="SimSun" w:hAnsi="SimSun" w:eastAsia="SimSun" w:cs="SimSun"/>
          <w:color w:val="000000"/>
          <w:sz w:val="21"/>
        </w:rPr>
        <w:t xml:space="preserve">（姓名）为我公司授权代表（即代理人），以本公司的名义参加</w:t>
      </w:r>
      <w:r>
        <w:rPr>
          <w:rFonts w:ascii="SimSun" w:hAnsi="SimSun" w:eastAsia="SimSun" w:cs="SimSun"/>
          <w:color w:val="000000"/>
          <w:sz w:val="21"/>
          <w:u w:val="single"/>
        </w:rPr>
        <w:t xml:space="preserve">江苏鸿渐投资咨询管理有限公司</w:t>
      </w:r>
      <w:r>
        <w:rPr>
          <w:rFonts w:ascii="SimSun" w:hAnsi="SimSun" w:eastAsia="SimSun" w:cs="SimSun"/>
          <w:color w:val="000000"/>
          <w:sz w:val="21"/>
        </w:rPr>
        <w:t xml:space="preserve">组织实施的编号为</w:t>
      </w:r>
      <w:r>
        <w:rPr>
          <w:rFonts w:ascii="SimSun" w:hAnsi="SimSun" w:eastAsia="SimSun" w:cs="SimSun"/>
          <w:color w:val="000000"/>
          <w:sz w:val="21"/>
          <w:u w:val="single"/>
        </w:rPr>
        <w:t xml:space="preserve">            </w:t>
      </w:r>
      <w:r>
        <w:rPr>
          <w:rFonts w:ascii="SimSun" w:hAnsi="SimSun" w:eastAsia="SimSun" w:cs="SimSun"/>
          <w:color w:val="000000"/>
          <w:sz w:val="21"/>
        </w:rPr>
        <w:t xml:space="preserve">号的磋商活动。授权代表在磋商活动过程中所签署的一切文件和处理与这有关的一切事务，我均予以承认。</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授权代表在授权委托书有效期内签署的所有文件不因授权委托的撤销而失效，除非有撤销授权委托的书面通知，本授权委托书自磋商活动开始至合同履行完毕止。</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授权代表无转委托权。特此委托。</w:t>
      </w:r>
      <w:r/>
    </w:p>
    <w:p>
      <w:pPr>
        <w:ind w:left="0" w:right="0" w:firstLine="84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响应单位：（公章）</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法定代表人（负责人）：（签字或盖章）</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被授权人：（签字或盖章）</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附件6：中小企业声明函（具体按照“苏采云”系统填报）</w:t>
      </w:r>
      <w:r>
        <w:rPr>
          <w:rFonts w:ascii="SimSun" w:hAnsi="SimSun" w:eastAsia="SimSun" w:cs="SimSun"/>
          <w:b/>
          <w:color w:val="000000"/>
          <w:sz w:val="21"/>
        </w:rPr>
        <w:t xml:space="preserve"> </w:t>
      </w:r>
      <w:r>
        <w:rPr>
          <w:rFonts w:ascii="Times New Roman" w:hAnsi="Times New Roman" w:eastAsia="Times New Roman" w:cs="Times New Roman"/>
          <w:sz w:val="21"/>
        </w:rPr>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中小企业声明函</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江苏鸿渐投资咨询管理有限公司：</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本公司（联合体）郑重声明，根据《政府采购促进中小企业发展管理办法》（财库[2020]46号）的规定，本公司（联合体）参加</w:t>
      </w:r>
      <w:r>
        <w:rPr>
          <w:rFonts w:ascii="SimSun" w:hAnsi="SimSun" w:eastAsia="SimSun" w:cs="SimSun"/>
          <w:color w:val="000000"/>
          <w:sz w:val="21"/>
          <w:u w:val="single"/>
        </w:rPr>
        <w:t xml:space="preserve">         （单位名称）</w:t>
      </w:r>
      <w:r>
        <w:rPr>
          <w:rFonts w:ascii="SimSun" w:hAnsi="SimSun" w:eastAsia="SimSun" w:cs="SimSun"/>
          <w:color w:val="000000"/>
          <w:sz w:val="21"/>
        </w:rPr>
        <w:t xml:space="preserve">的</w:t>
      </w:r>
      <w:r>
        <w:rPr>
          <w:rFonts w:ascii="SimSun" w:hAnsi="SimSun" w:eastAsia="SimSun" w:cs="SimSun"/>
          <w:color w:val="000000"/>
          <w:sz w:val="21"/>
          <w:u w:val="single"/>
        </w:rPr>
        <w:t xml:space="preserve">         （项目名称）</w:t>
      </w:r>
      <w:r>
        <w:rPr>
          <w:rFonts w:ascii="SimSun" w:hAnsi="SimSun" w:eastAsia="SimSun" w:cs="SimSun"/>
          <w:color w:val="000000"/>
          <w:sz w:val="21"/>
        </w:rPr>
        <w:t xml:space="preserve">采购活动，服务全部由符合政策要求的中小企业承接。相关企业（含联合体中的中小企业、签订分包意向协议的中小企业）的具体情况如下：</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1"/>
          <w:u w:val="single"/>
        </w:rPr>
        <w:t xml:space="preserve">         （项目名称）</w:t>
      </w:r>
      <w:r>
        <w:rPr>
          <w:rFonts w:ascii="SimSun" w:hAnsi="SimSun" w:eastAsia="SimSun" w:cs="SimSun"/>
          <w:color w:val="000000"/>
          <w:sz w:val="21"/>
        </w:rPr>
        <w:t xml:space="preserve">，属于</w:t>
      </w:r>
      <w:r>
        <w:rPr>
          <w:rFonts w:ascii="SimSun" w:hAnsi="SimSun" w:eastAsia="SimSun" w:cs="SimSun"/>
          <w:color w:val="000000"/>
          <w:sz w:val="21"/>
          <w:u w:val="single"/>
        </w:rPr>
        <w:t xml:space="preserve">其他未列明行业</w:t>
      </w:r>
      <w:r>
        <w:rPr>
          <w:rFonts w:ascii="SimSun" w:hAnsi="SimSun" w:eastAsia="SimSun" w:cs="SimSun"/>
          <w:color w:val="000000"/>
          <w:sz w:val="21"/>
        </w:rPr>
        <w:t xml:space="preserve">；承接企业为</w:t>
      </w:r>
      <w:r>
        <w:rPr>
          <w:rFonts w:ascii="SimSun" w:hAnsi="SimSun" w:eastAsia="SimSun" w:cs="SimSun"/>
          <w:color w:val="000000"/>
          <w:sz w:val="21"/>
          <w:u w:val="single"/>
        </w:rPr>
        <w:t xml:space="preserve">         （企业名称）</w:t>
      </w:r>
      <w:r>
        <w:rPr>
          <w:rFonts w:ascii="SimSun" w:hAnsi="SimSun" w:eastAsia="SimSun" w:cs="SimSun"/>
          <w:color w:val="000000"/>
          <w:sz w:val="21"/>
        </w:rPr>
        <w:t xml:space="preserve">，从业人员</w:t>
      </w:r>
      <w:r>
        <w:rPr>
          <w:rFonts w:ascii="SimSun" w:hAnsi="SimSun" w:eastAsia="SimSun" w:cs="SimSun"/>
          <w:color w:val="000000"/>
          <w:sz w:val="21"/>
          <w:u w:val="single"/>
        </w:rPr>
        <w:t xml:space="preserve">     </w:t>
      </w:r>
      <w:r>
        <w:rPr>
          <w:rFonts w:ascii="SimSun" w:hAnsi="SimSun" w:eastAsia="SimSun" w:cs="SimSun"/>
          <w:color w:val="000000"/>
          <w:sz w:val="21"/>
        </w:rPr>
        <w:t xml:space="preserve">人，营业收入为</w:t>
      </w:r>
      <w:r>
        <w:rPr>
          <w:rFonts w:ascii="SimSun" w:hAnsi="SimSun" w:eastAsia="SimSun" w:cs="SimSun"/>
          <w:color w:val="000000"/>
          <w:sz w:val="21"/>
          <w:u w:val="single"/>
        </w:rPr>
        <w:t xml:space="preserve">      </w:t>
      </w:r>
      <w:r>
        <w:rPr>
          <w:rFonts w:ascii="SimSun" w:hAnsi="SimSun" w:eastAsia="SimSun" w:cs="SimSun"/>
          <w:color w:val="000000"/>
          <w:sz w:val="21"/>
        </w:rPr>
        <w:t xml:space="preserve">万元，资产总额为</w:t>
      </w:r>
      <w:r>
        <w:rPr>
          <w:rFonts w:ascii="SimSun" w:hAnsi="SimSun" w:eastAsia="SimSun" w:cs="SimSun"/>
          <w:color w:val="000000"/>
          <w:sz w:val="21"/>
          <w:u w:val="single"/>
        </w:rPr>
        <w:t xml:space="preserve">      </w:t>
      </w:r>
      <w:r>
        <w:rPr>
          <w:rFonts w:ascii="SimSun" w:hAnsi="SimSun" w:eastAsia="SimSun" w:cs="SimSun"/>
          <w:color w:val="000000"/>
          <w:sz w:val="21"/>
        </w:rPr>
        <w:t xml:space="preserve">万元，属于</w:t>
      </w:r>
      <w:r>
        <w:rPr>
          <w:rFonts w:ascii="SimSun" w:hAnsi="SimSun" w:eastAsia="SimSun" w:cs="SimSun"/>
          <w:color w:val="000000"/>
          <w:sz w:val="21"/>
          <w:u w:val="single"/>
        </w:rPr>
        <w:t xml:space="preserve">（□中型企业、□小型企业、□微型企业）</w:t>
      </w:r>
      <w:r>
        <w:rPr>
          <w:rFonts w:ascii="SimSun" w:hAnsi="SimSun" w:eastAsia="SimSun" w:cs="SimSun"/>
          <w:color w:val="000000"/>
          <w:sz w:val="21"/>
        </w:rPr>
        <w:t xml:space="preserve">；</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color w:val="000000"/>
          <w:sz w:val="21"/>
          <w:u w:val="single"/>
        </w:rPr>
        <w:t xml:space="preserve">         （项目名称）</w:t>
      </w:r>
      <w:r>
        <w:rPr>
          <w:rFonts w:ascii="SimSun" w:hAnsi="SimSun" w:eastAsia="SimSun" w:cs="SimSun"/>
          <w:color w:val="000000"/>
          <w:sz w:val="21"/>
        </w:rPr>
        <w:t xml:space="preserve">，属于</w:t>
      </w:r>
      <w:r>
        <w:rPr>
          <w:rFonts w:ascii="SimSun" w:hAnsi="SimSun" w:eastAsia="SimSun" w:cs="SimSun"/>
          <w:color w:val="000000"/>
          <w:sz w:val="21"/>
          <w:u w:val="single"/>
        </w:rPr>
        <w:t xml:space="preserve">其他未列明行业</w:t>
      </w:r>
      <w:r>
        <w:rPr>
          <w:rFonts w:ascii="SimSun" w:hAnsi="SimSun" w:eastAsia="SimSun" w:cs="SimSun"/>
          <w:color w:val="000000"/>
          <w:sz w:val="21"/>
        </w:rPr>
        <w:t xml:space="preserve">；承接企业为</w:t>
      </w:r>
      <w:r>
        <w:rPr>
          <w:rFonts w:ascii="SimSun" w:hAnsi="SimSun" w:eastAsia="SimSun" w:cs="SimSun"/>
          <w:color w:val="000000"/>
          <w:sz w:val="21"/>
          <w:u w:val="single"/>
        </w:rPr>
        <w:t xml:space="preserve">         （企业名称）</w:t>
      </w:r>
      <w:r>
        <w:rPr>
          <w:rFonts w:ascii="SimSun" w:hAnsi="SimSun" w:eastAsia="SimSun" w:cs="SimSun"/>
          <w:color w:val="000000"/>
          <w:sz w:val="21"/>
        </w:rPr>
        <w:t xml:space="preserve">，从业人员</w:t>
      </w:r>
      <w:r>
        <w:rPr>
          <w:rFonts w:ascii="SimSun" w:hAnsi="SimSun" w:eastAsia="SimSun" w:cs="SimSun"/>
          <w:color w:val="000000"/>
          <w:sz w:val="21"/>
          <w:u w:val="single"/>
        </w:rPr>
        <w:t xml:space="preserve">     </w:t>
      </w:r>
      <w:r>
        <w:rPr>
          <w:rFonts w:ascii="SimSun" w:hAnsi="SimSun" w:eastAsia="SimSun" w:cs="SimSun"/>
          <w:color w:val="000000"/>
          <w:sz w:val="21"/>
        </w:rPr>
        <w:t xml:space="preserve">人，营业收入为</w:t>
      </w:r>
      <w:r>
        <w:rPr>
          <w:rFonts w:ascii="SimSun" w:hAnsi="SimSun" w:eastAsia="SimSun" w:cs="SimSun"/>
          <w:color w:val="000000"/>
          <w:sz w:val="21"/>
          <w:u w:val="single"/>
        </w:rPr>
        <w:t xml:space="preserve">      </w:t>
      </w:r>
      <w:r>
        <w:rPr>
          <w:rFonts w:ascii="SimSun" w:hAnsi="SimSun" w:eastAsia="SimSun" w:cs="SimSun"/>
          <w:color w:val="000000"/>
          <w:sz w:val="21"/>
        </w:rPr>
        <w:t xml:space="preserve">万元，资产总额为</w:t>
      </w:r>
      <w:r>
        <w:rPr>
          <w:rFonts w:ascii="SimSun" w:hAnsi="SimSun" w:eastAsia="SimSun" w:cs="SimSun"/>
          <w:color w:val="000000"/>
          <w:sz w:val="21"/>
          <w:u w:val="single"/>
        </w:rPr>
        <w:t xml:space="preserve">      </w:t>
      </w:r>
      <w:r>
        <w:rPr>
          <w:rFonts w:ascii="SimSun" w:hAnsi="SimSun" w:eastAsia="SimSun" w:cs="SimSun"/>
          <w:color w:val="000000"/>
          <w:sz w:val="21"/>
        </w:rPr>
        <w:t xml:space="preserve">万元，属于</w:t>
      </w:r>
      <w:r>
        <w:rPr>
          <w:rFonts w:ascii="SimSun" w:hAnsi="SimSun" w:eastAsia="SimSun" w:cs="SimSun"/>
          <w:color w:val="000000"/>
          <w:sz w:val="21"/>
          <w:u w:val="single"/>
        </w:rPr>
        <w:t xml:space="preserve">（□中型企业、□小型企业、□微型企业）</w:t>
      </w:r>
      <w:r>
        <w:rPr>
          <w:rFonts w:ascii="SimSun" w:hAnsi="SimSun" w:eastAsia="SimSun" w:cs="SimSun"/>
          <w:color w:val="000000"/>
          <w:sz w:val="21"/>
        </w:rPr>
        <w:t xml:space="preserve">；</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以上企业，不属于大企业的分支机构，不存在控股股东为大企业的情形，也不存在与大企业的负责人为同一人的情形。</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本企业对上述声明内容的真实性负责。如有虚假，将依法承担相应责任。</w:t>
      </w:r>
      <w:r/>
    </w:p>
    <w:p>
      <w:pPr>
        <w:ind w:left="0" w:right="0" w:firstLine="567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企业名称(盖章)：</w:t>
      </w:r>
      <w:r/>
    </w:p>
    <w:p>
      <w:pPr>
        <w:ind w:left="0" w:right="0" w:firstLine="567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 期：</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注：1.中小企业划分标准详见“工信部联企业〔2011〕300号通知中的《中小企业划型标准规定》。</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2.本项目所属行业：其他未列明行业。</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应对照中小企业划分标准和采购标的所属行业，如实、完整填报《中小企业声明函》，在声明企业类型时，货物采购项目应当对制造商进行声明，工程和服务采购项目应当对承建（承接）供应商进行声明。涉及多个采购标的且由不同制造商制造或者由不同供应商承建（承接）的，应当逐一填报每个采购标的的制造商或者承建（承接）供应商信息。</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4.依据《政府采购促进中小企业发展管理办法》规定享受扶持政策获得政府采购合同的，小微企业不得将合同分包给大中型企业，中型企业不得将合同分包给大型企业。</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从业人员、营业收入、资产总额填报上一年度数据，无上一年度数据的新成立企业可不填报。新成立企业无上一年度从业人员、营业收入和资产总额数据的，根据其出具的《中小企业声明函》认可其为中小企业。</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6.供应商提供的声明函内容不实的，依照《中华人民共和国政府采购法》、《中华人民共和国政府采购法实施条例》、《政府采购促进中小企业发展管理办法》（财库〔2020〕46号等法律法规规定追究法律责任。</w:t>
      </w:r>
      <w:r/>
    </w:p>
    <w:p>
      <w:pPr>
        <w:shd w:val="nil" w:color="auto"/>
        <w:rPr>
          <w:rFonts w:ascii="Times New Roman" w:hAnsi="Times New Roman" w:eastAsia="Times New Roman" w:cs="Times New Roman"/>
          <w:sz w:val="21"/>
          <w:szCs w:val="21"/>
        </w:rPr>
      </w:pPr>
      <w:r>
        <w:rPr>
          <w:rFonts w:ascii="SimSun" w:hAnsi="SimSun" w:eastAsia="SimSun" w:cs="SimSun"/>
          <w:b/>
          <w:color w:val="000000"/>
          <w:sz w:val="21"/>
          <w:highlight w:val="none"/>
        </w:rPr>
        <w:br w:type="page" w:clear="all"/>
      </w:r>
      <w:r>
        <w:rPr>
          <w:rFonts w:ascii="SimSun" w:hAnsi="SimSun" w:eastAsia="SimSun" w:cs="SimSun"/>
          <w:b/>
          <w:color w:val="000000"/>
          <w:sz w:val="21"/>
          <w:highlight w:val="none"/>
        </w:rPr>
      </w:r>
      <w:r/>
    </w:p>
    <w:p>
      <w:pPr>
        <w:ind w:left="0" w:right="0" w:firstLine="0"/>
        <w:jc w:val="both"/>
        <w:spacing w:before="0" w:after="0" w:line="85" w:lineRule="atLeast"/>
        <w:rPr>
          <w:rFonts w:ascii="SimSun" w:hAnsi="SimSun" w:eastAsia="SimSun" w:cs="SimSun"/>
          <w:b/>
          <w:bCs/>
          <w:color w:val="000000"/>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附件7：残疾人福利性单位声明函</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残疾人福利性单位声明函</w:t>
      </w:r>
      <w:r/>
      <w:r>
        <w:rPr>
          <w:rFonts w:ascii="SimSun" w:hAnsi="SimSun" w:eastAsia="SimSun" w:cs="SimSun"/>
          <w:color w:val="000000"/>
          <w:sz w:val="21"/>
          <w:u w:val="single"/>
        </w:rPr>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江苏鸿渐投资咨询管理有限公司：</w:t>
      </w:r>
      <w:r/>
    </w:p>
    <w:p>
      <w:pPr>
        <w:ind w:left="0" w:right="0" w:firstLine="42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本单位郑重声明，根据《财政部民政部中国残疾人联合会关于促进残疾人就业政府采购政策的通知》（财库〔2017〕141号）的规定，本单位为符合条件的残疾人福利性单位，且本单位参加贵中心组织实施的编号为</w:t>
      </w:r>
      <w:r>
        <w:rPr>
          <w:rFonts w:ascii="SimSun" w:hAnsi="SimSun" w:eastAsia="SimSun" w:cs="SimSun"/>
          <w:color w:val="000000"/>
          <w:sz w:val="21"/>
          <w:u w:val="single"/>
        </w:rPr>
        <w:t xml:space="preserve">              </w:t>
      </w:r>
      <w:r>
        <w:rPr>
          <w:rFonts w:ascii="SimSun" w:hAnsi="SimSun" w:eastAsia="SimSun" w:cs="SimSun"/>
          <w:color w:val="000000"/>
          <w:sz w:val="21"/>
        </w:rPr>
        <w:t xml:space="preserve">号的采购活动提供本单位制造的货物（由本单位承担工程/提供服务），或者提供其他残疾人福利性单位制造的货物（不包括使用非残疾人福利性单位注册商标的货物）。</w:t>
      </w:r>
      <w:r/>
    </w:p>
    <w:p>
      <w:pPr>
        <w:ind w:left="0" w:right="0" w:firstLine="42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本单位对上述声明的真实性负责。如有虚假，将依法承担相应责任。</w:t>
      </w:r>
      <w:r/>
    </w:p>
    <w:p>
      <w:pPr>
        <w:ind w:left="0" w:right="0" w:firstLine="420"/>
        <w:jc w:val="right"/>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单位名称(盖章)：</w:t>
      </w:r>
      <w:r/>
    </w:p>
    <w:p>
      <w:pPr>
        <w:ind w:left="0" w:right="0" w:firstLine="420"/>
        <w:jc w:val="right"/>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日期：</w:t>
      </w:r>
      <w:r/>
    </w:p>
    <w:p>
      <w:pPr>
        <w:ind w:left="0" w:right="0" w:firstLine="525"/>
        <w:jc w:val="both"/>
        <w:spacing w:before="0" w:after="0" w:line="85" w:lineRule="atLeast"/>
        <w:tabs>
          <w:tab w:val="left" w:pos="28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附件8：磋商响应函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磋商响应函</w:t>
      </w:r>
      <w:r/>
    </w:p>
    <w:p>
      <w:pPr>
        <w:ind w:left="0" w:right="0" w:firstLine="0"/>
        <w:jc w:val="both"/>
        <w:spacing w:before="0" w:after="0" w:line="360" w:lineRule="auto"/>
        <w:rPr>
          <w:rFonts w:ascii="SimSun" w:hAnsi="SimSun" w:eastAsia="SimSun" w:cs="SimSun"/>
          <w:color w:val="000000"/>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江苏鸿渐投资咨询管理有限公司</w:t>
      </w:r>
      <w:r>
        <w:rPr>
          <w:rFonts w:ascii="SimSun" w:hAnsi="SimSun" w:eastAsia="SimSun" w:cs="SimSun"/>
          <w:color w:val="000000"/>
          <w:sz w:val="21"/>
        </w:rPr>
        <w:t xml:space="preserve">：</w:t>
      </w:r>
      <w:r>
        <w:rPr>
          <w:rFonts w:ascii="Times New Roman" w:hAnsi="Times New Roman" w:eastAsia="Times New Roman" w:cs="Times New Roman"/>
          <w:sz w:val="21"/>
        </w:rPr>
      </w:r>
      <w:r/>
    </w:p>
    <w:p>
      <w:pPr>
        <w:ind w:left="0" w:right="0" w:firstLine="0"/>
        <w:jc w:val="both"/>
        <w:spacing w:before="0" w:after="0" w:line="360" w:lineRule="auto"/>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r>
      <w:r>
        <w:rPr>
          <w:rFonts w:ascii="SimSun" w:hAnsi="SimSun" w:eastAsia="SimSun" w:cs="SimSun"/>
          <w:color w:val="000000"/>
          <w:sz w:val="21"/>
        </w:rPr>
        <w:t xml:space="preserve">我方收到贵公司 </w:t>
      </w:r>
      <w:r>
        <w:rPr>
          <w:rFonts w:ascii="SimSun" w:hAnsi="SimSun" w:eastAsia="SimSun" w:cs="SimSun"/>
          <w:color w:val="000000"/>
          <w:sz w:val="21"/>
          <w:u w:val="single"/>
        </w:rPr>
        <w:t xml:space="preserve">          </w:t>
      </w:r>
      <w:r>
        <w:rPr>
          <w:rFonts w:ascii="SimSun" w:hAnsi="SimSun" w:eastAsia="SimSun" w:cs="SimSun"/>
          <w:color w:val="000000"/>
          <w:sz w:val="21"/>
        </w:rPr>
        <w:t xml:space="preserve">号磋商采购文件，经仔细阅读和研究，我方决定参加磋商。并向贵公司承诺：</w:t>
      </w:r>
      <w:r>
        <w:rPr>
          <w:rFonts w:ascii="Times New Roman" w:hAnsi="Times New Roman" w:eastAsia="Times New Roman" w:cs="Times New Roman"/>
          <w:sz w:val="21"/>
        </w:rPr>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1.愿意按照磋商采购文件的一切要求，提供以上所有服务。</w:t>
      </w:r>
      <w:r/>
    </w:p>
    <w:p>
      <w:pPr>
        <w:ind w:left="0" w:right="0" w:firstLine="420"/>
        <w:jc w:val="both"/>
        <w:spacing w:before="0" w:after="0" w:line="360" w:lineRule="auto"/>
        <w:rPr>
          <w:rFonts w:ascii="SimSun" w:hAnsi="SimSun" w:eastAsia="SimSun" w:cs="SimSun"/>
          <w:color w:val="000000"/>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2.如果我们的响应文件被接受，我们将严格履行磋商采购文件中规定的每一项要求，按期、按质、按量履行服务义务。</w:t>
      </w:r>
      <w:r>
        <w:rPr>
          <w:rFonts w:ascii="Times New Roman" w:hAnsi="Times New Roman" w:eastAsia="Times New Roman" w:cs="Times New Roman"/>
          <w:sz w:val="21"/>
        </w:rPr>
      </w:r>
      <w:r/>
    </w:p>
    <w:p>
      <w:pPr>
        <w:ind w:left="0" w:right="0" w:firstLine="420"/>
        <w:jc w:val="both"/>
        <w:spacing w:before="0" w:after="0" w:line="360" w:lineRule="auto"/>
        <w:rPr>
          <w:rFonts w:ascii="SimSun" w:hAnsi="SimSun" w:eastAsia="SimSun" w:cs="SimSun"/>
          <w:color w:val="000000"/>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r>
      <w:r>
        <w:rPr>
          <w:rFonts w:ascii="SimSun" w:hAnsi="SimSun" w:eastAsia="SimSun" w:cs="SimSun"/>
          <w:color w:val="000000"/>
          <w:sz w:val="21"/>
        </w:rPr>
        <w:t xml:space="preserve">3.我方同意按磋商采购文件中的规定，我方的响应文件有效期限为磋商开始后60天，如果我方在规定的有效期内撤回我方的响应文件，我方应承担响应责任。</w:t>
      </w:r>
      <w:r>
        <w:rPr>
          <w:rFonts w:ascii="Times New Roman" w:hAnsi="Times New Roman" w:eastAsia="Times New Roman" w:cs="Times New Roman"/>
          <w:sz w:val="21"/>
          <w:szCs w:val="21"/>
        </w:rPr>
      </w:r>
      <w:r/>
    </w:p>
    <w:p>
      <w:pPr>
        <w:ind w:left="0" w:right="0" w:firstLine="420"/>
        <w:jc w:val="both"/>
        <w:spacing w:before="0" w:after="0" w:line="360" w:lineRule="auto"/>
        <w:rPr>
          <w:rFonts w:ascii="SimSun" w:hAnsi="SimSun" w:eastAsia="SimSun" w:cs="SimSun"/>
          <w:color w:val="000000"/>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r>
      <w:r>
        <w:rPr>
          <w:rFonts w:ascii="SimSun" w:hAnsi="SimSun" w:eastAsia="SimSun" w:cs="SimSun"/>
          <w:color w:val="000000"/>
          <w:sz w:val="21"/>
        </w:rPr>
        <w:t xml:space="preserve">4.我方愿意提供贵方在磋商采购文件中要求的所有资料。也同意向贵方提供贵方可能另外要求的与我方磋商文件有关的任何证据或资料。并保证所提供的资料全部是真实的、有效的，若有虚假，我方愿承担一切责任。</w:t>
      </w:r>
      <w:r>
        <w:rPr>
          <w:rFonts w:ascii="Times New Roman" w:hAnsi="Times New Roman" w:eastAsia="Times New Roman" w:cs="Times New Roman"/>
          <w:sz w:val="21"/>
          <w:szCs w:val="21"/>
        </w:rPr>
      </w:r>
      <w:r/>
    </w:p>
    <w:p>
      <w:pPr>
        <w:ind w:left="0" w:right="0" w:firstLine="420"/>
        <w:jc w:val="both"/>
        <w:spacing w:before="0" w:after="0" w:line="360" w:lineRule="auto"/>
        <w:rPr>
          <w:rFonts w:ascii="SimSun" w:hAnsi="SimSun" w:eastAsia="SimSun" w:cs="SimSun"/>
          <w:color w:val="000000"/>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r>
      <w:r>
        <w:rPr>
          <w:rFonts w:ascii="SimSun" w:hAnsi="SimSun" w:eastAsia="SimSun" w:cs="SimSun"/>
          <w:color w:val="000000"/>
          <w:sz w:val="21"/>
        </w:rPr>
        <w:t xml:space="preserve">5.我方认为贵方有权决定成交者，还认为贵方有权接受或拒绝所有的供应商成交。</w:t>
      </w:r>
      <w:r>
        <w:rPr>
          <w:rFonts w:ascii="Times New Roman" w:hAnsi="Times New Roman" w:eastAsia="Times New Roman" w:cs="Times New Roman"/>
          <w:sz w:val="21"/>
          <w:szCs w:val="21"/>
        </w:rPr>
      </w:r>
      <w:r/>
    </w:p>
    <w:p>
      <w:pPr>
        <w:ind w:left="0" w:right="0" w:firstLine="420"/>
        <w:jc w:val="both"/>
        <w:spacing w:before="0" w:after="0" w:line="360" w:lineRule="auto"/>
        <w:rPr>
          <w:rFonts w:ascii="SimSun" w:hAnsi="SimSun" w:eastAsia="SimSun" w:cs="SimSun"/>
          <w:color w:val="000000"/>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r>
      <w:r>
        <w:rPr>
          <w:rFonts w:ascii="SimSun" w:hAnsi="SimSun" w:eastAsia="SimSun" w:cs="SimSun"/>
          <w:color w:val="000000"/>
          <w:sz w:val="21"/>
        </w:rPr>
        <w:t xml:space="preserve">6.我方愿意遵守磋商采购文件中所列的收费标准。</w:t>
      </w:r>
      <w:r>
        <w:rPr>
          <w:rFonts w:ascii="Times New Roman" w:hAnsi="Times New Roman" w:eastAsia="Times New Roman" w:cs="Times New Roman"/>
          <w:sz w:val="21"/>
          <w:szCs w:val="21"/>
        </w:rPr>
      </w:r>
      <w:r/>
    </w:p>
    <w:p>
      <w:pPr>
        <w:ind w:left="0" w:right="0" w:firstLine="420"/>
        <w:jc w:val="both"/>
        <w:spacing w:before="0" w:after="0" w:line="360" w:lineRule="auto"/>
        <w:rPr>
          <w:rFonts w:ascii="SimSun" w:hAnsi="SimSun" w:eastAsia="SimSun" w:cs="SimSun"/>
          <w:color w:val="000000"/>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r>
      <w:r>
        <w:rPr>
          <w:rFonts w:ascii="SimSun" w:hAnsi="SimSun" w:eastAsia="SimSun" w:cs="SimSun"/>
          <w:color w:val="000000"/>
          <w:sz w:val="21"/>
        </w:rPr>
        <w:t xml:space="preserve">7.我方承诺该项磋商开始后的全过程中保持有效，不作任何更改和变动。我方同意被确定成交后若不履行我方响应文件的内容要求和各项承诺及义务的即被视为违约，我方成交资格将被取消。</w:t>
      </w:r>
      <w:r>
        <w:rPr>
          <w:rFonts w:ascii="Times New Roman" w:hAnsi="Times New Roman" w:eastAsia="Times New Roman" w:cs="Times New Roman"/>
          <w:sz w:val="21"/>
          <w:szCs w:val="21"/>
        </w:rPr>
      </w:r>
      <w:r/>
    </w:p>
    <w:p>
      <w:pPr>
        <w:ind w:left="0" w:right="0" w:firstLine="420"/>
        <w:jc w:val="both"/>
        <w:spacing w:before="0" w:after="0" w:line="360" w:lineRule="auto"/>
        <w:rPr>
          <w:rFonts w:ascii="SimSun" w:hAnsi="SimSun" w:eastAsia="SimSun" w:cs="SimSun"/>
          <w:color w:val="000000"/>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r>
      <w:r>
        <w:rPr>
          <w:rFonts w:ascii="SimSun" w:hAnsi="SimSun" w:eastAsia="SimSun" w:cs="SimSun"/>
          <w:color w:val="000000"/>
          <w:sz w:val="21"/>
        </w:rPr>
        <w:t xml:space="preserve">8.我方同意我方若无法按约定条款履行义务等行为，采购单位有权取消我方的成交资格。</w:t>
      </w:r>
      <w:r>
        <w:rPr>
          <w:rFonts w:ascii="Times New Roman" w:hAnsi="Times New Roman" w:eastAsia="Times New Roman" w:cs="Times New Roman"/>
          <w:sz w:val="21"/>
          <w:szCs w:val="21"/>
        </w:rPr>
      </w:r>
      <w:r/>
    </w:p>
    <w:p>
      <w:pPr>
        <w:ind w:left="0" w:right="0" w:firstLine="420"/>
        <w:jc w:val="both"/>
        <w:spacing w:before="0" w:after="0" w:line="360" w:lineRule="auto"/>
        <w:rPr>
          <w:rFonts w:ascii="SimSun" w:hAnsi="SimSun" w:eastAsia="SimSun" w:cs="SimSun"/>
          <w:color w:val="000000"/>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r>
      <w:r>
        <w:rPr>
          <w:rFonts w:ascii="SimSun" w:hAnsi="SimSun" w:eastAsia="SimSun" w:cs="SimSun"/>
          <w:color w:val="000000"/>
          <w:sz w:val="21"/>
        </w:rPr>
        <w:t xml:space="preserve">9.如果我方被确定成交，我方愿意在签订合同时按规定的收费标准支付成交服务费，如未按规定缴纳中标服务费，并可提出诉讼的权力。</w:t>
      </w:r>
      <w:r>
        <w:rPr>
          <w:rFonts w:ascii="Times New Roman" w:hAnsi="Times New Roman" w:eastAsia="Times New Roman" w:cs="Times New Roman"/>
          <w:sz w:val="21"/>
          <w:szCs w:val="21"/>
        </w:rPr>
      </w:r>
      <w:r/>
    </w:p>
    <w:p>
      <w:pPr>
        <w:ind w:left="0" w:right="0" w:firstLine="420"/>
        <w:jc w:val="both"/>
        <w:spacing w:before="0" w:after="0" w:line="360" w:lineRule="auto"/>
        <w:rPr>
          <w:rFonts w:ascii="SimSun" w:hAnsi="SimSun" w:eastAsia="SimSun" w:cs="SimSun"/>
          <w:color w:val="000000"/>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r>
      <w:r>
        <w:rPr>
          <w:rFonts w:ascii="SimSun" w:hAnsi="SimSun" w:eastAsia="SimSun" w:cs="SimSun"/>
          <w:color w:val="000000"/>
          <w:sz w:val="21"/>
        </w:rPr>
        <w:t xml:space="preserve">10.与本磋商有关的通讯地址：</w:t>
      </w:r>
      <w:r>
        <w:rPr>
          <w:rFonts w:ascii="Times New Roman" w:hAnsi="Times New Roman" w:eastAsia="Times New Roman" w:cs="Times New Roman"/>
          <w:sz w:val="21"/>
          <w:szCs w:val="21"/>
        </w:rPr>
      </w:r>
      <w:r/>
    </w:p>
    <w:p>
      <w:pPr>
        <w:ind w:left="0" w:right="0" w:firstLine="420"/>
        <w:jc w:val="both"/>
        <w:spacing w:before="0" w:after="0" w:line="360" w:lineRule="auto"/>
        <w:rPr>
          <w:rFonts w:ascii="SimSun" w:hAnsi="SimSun" w:eastAsia="SimSun" w:cs="SimSun"/>
          <w:color w:val="000000"/>
          <w:sz w:val="21"/>
          <w:szCs w:val="21"/>
          <w:u w:val="singl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r>
      <w:r>
        <w:rPr>
          <w:rFonts w:ascii="SimSun" w:hAnsi="SimSun" w:eastAsia="SimSun" w:cs="SimSun"/>
          <w:color w:val="000000"/>
          <w:sz w:val="21"/>
        </w:rPr>
        <w:t xml:space="preserve">单位： </w:t>
      </w:r>
      <w:r>
        <w:rPr>
          <w:rFonts w:ascii="SimSun" w:hAnsi="SimSun" w:eastAsia="SimSun" w:cs="SimSun"/>
          <w:color w:val="000000"/>
          <w:sz w:val="21"/>
          <w:u w:val="single"/>
        </w:rPr>
        <w:t xml:space="preserve">                                </w:t>
      </w:r>
      <w:r>
        <w:rPr>
          <w:rFonts w:ascii="SimSun" w:hAnsi="SimSun" w:eastAsia="SimSun" w:cs="SimSun"/>
          <w:color w:val="000000"/>
          <w:sz w:val="21"/>
        </w:rPr>
        <w:t xml:space="preserve">联 系 人：</w:t>
      </w:r>
      <w:r>
        <w:rPr>
          <w:rFonts w:ascii="SimSun" w:hAnsi="SimSun" w:eastAsia="SimSun" w:cs="SimSun"/>
          <w:color w:val="000000"/>
          <w:sz w:val="21"/>
          <w:u w:val="single"/>
        </w:rPr>
        <w:t xml:space="preserve">                   </w:t>
      </w:r>
      <w:r>
        <w:rPr>
          <w:rFonts w:ascii="Times New Roman" w:hAnsi="Times New Roman" w:eastAsia="Times New Roman" w:cs="Times New Roman"/>
          <w:sz w:val="21"/>
          <w:szCs w:val="21"/>
        </w:rPr>
      </w:r>
      <w:r/>
    </w:p>
    <w:p>
      <w:pPr>
        <w:ind w:left="0" w:right="0" w:firstLine="420"/>
        <w:jc w:val="both"/>
        <w:spacing w:before="0" w:after="0" w:line="360" w:lineRule="auto"/>
        <w:rPr>
          <w:rFonts w:ascii="SimSun" w:hAnsi="SimSun" w:eastAsia="SimSun" w:cs="SimSun"/>
          <w:color w:val="000000"/>
          <w:sz w:val="21"/>
          <w:szCs w:val="21"/>
          <w:u w:val="singl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r>
      <w:r>
        <w:rPr>
          <w:rFonts w:ascii="SimSun" w:hAnsi="SimSun" w:eastAsia="SimSun" w:cs="SimSun"/>
          <w:color w:val="000000"/>
          <w:sz w:val="21"/>
        </w:rPr>
        <w:t xml:space="preserve">地址：</w:t>
      </w:r>
      <w:r>
        <w:rPr>
          <w:rFonts w:ascii="SimSun" w:hAnsi="SimSun" w:eastAsia="SimSun" w:cs="SimSun"/>
          <w:color w:val="000000"/>
          <w:sz w:val="21"/>
          <w:u w:val="single"/>
        </w:rPr>
        <w:t xml:space="preserve">                                </w:t>
      </w:r>
      <w:r>
        <w:rPr>
          <w:rFonts w:ascii="SimSun" w:hAnsi="SimSun" w:eastAsia="SimSun" w:cs="SimSun"/>
          <w:color w:val="000000"/>
          <w:sz w:val="21"/>
        </w:rPr>
        <w:t xml:space="preserve"> 邮政编码：</w:t>
      </w:r>
      <w:r>
        <w:rPr>
          <w:rFonts w:ascii="SimSun" w:hAnsi="SimSun" w:eastAsia="SimSun" w:cs="SimSun"/>
          <w:color w:val="000000"/>
          <w:sz w:val="21"/>
          <w:u w:val="single"/>
        </w:rPr>
        <w:t xml:space="preserve">                   </w:t>
      </w:r>
      <w:r>
        <w:rPr>
          <w:rFonts w:ascii="Times New Roman" w:hAnsi="Times New Roman" w:eastAsia="Times New Roman" w:cs="Times New Roman"/>
          <w:sz w:val="21"/>
          <w:szCs w:val="21"/>
        </w:rPr>
      </w:r>
      <w:r/>
    </w:p>
    <w:p>
      <w:pPr>
        <w:ind w:left="0" w:right="0" w:firstLine="420"/>
        <w:jc w:val="both"/>
        <w:spacing w:before="0" w:after="0" w:line="360" w:lineRule="auto"/>
        <w:rPr>
          <w:rFonts w:ascii="SimSun" w:hAnsi="SimSun" w:eastAsia="SimSun" w:cs="SimSun"/>
          <w:color w:val="000000"/>
          <w:sz w:val="21"/>
          <w:szCs w:val="21"/>
          <w:u w:val="singl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r>
      <w:r>
        <w:rPr>
          <w:rFonts w:ascii="SimSun" w:hAnsi="SimSun" w:eastAsia="SimSun" w:cs="SimSun"/>
          <w:color w:val="000000"/>
          <w:sz w:val="21"/>
        </w:rPr>
        <w:t xml:space="preserve">联系电话：</w:t>
      </w:r>
      <w:r>
        <w:rPr>
          <w:rFonts w:ascii="SimSun" w:hAnsi="SimSun" w:eastAsia="SimSun" w:cs="SimSun"/>
          <w:color w:val="000000"/>
          <w:sz w:val="21"/>
          <w:u w:val="single"/>
        </w:rPr>
        <w:t xml:space="preserve">                                </w:t>
      </w:r>
      <w:r>
        <w:rPr>
          <w:rFonts w:ascii="SimSun" w:hAnsi="SimSun" w:eastAsia="SimSun" w:cs="SimSun"/>
          <w:color w:val="000000"/>
          <w:sz w:val="21"/>
        </w:rPr>
        <w:t xml:space="preserve"> 传真：</w:t>
      </w:r>
      <w:r>
        <w:rPr>
          <w:rFonts w:ascii="SimSun" w:hAnsi="SimSun" w:eastAsia="SimSun" w:cs="SimSun"/>
          <w:color w:val="000000"/>
          <w:sz w:val="21"/>
          <w:u w:val="single"/>
        </w:rPr>
        <w:t xml:space="preserve">                   </w:t>
      </w:r>
      <w:r>
        <w:rPr>
          <w:rFonts w:ascii="Times New Roman" w:hAnsi="Times New Roman" w:eastAsia="Times New Roman" w:cs="Times New Roman"/>
          <w:sz w:val="21"/>
          <w:szCs w:val="21"/>
        </w:rPr>
      </w:r>
      <w:r/>
    </w:p>
    <w:p>
      <w:pPr>
        <w:ind w:left="0" w:right="0" w:firstLine="420"/>
        <w:jc w:val="both"/>
        <w:spacing w:before="0" w:after="0" w:line="360" w:lineRule="auto"/>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r>
      <w:r>
        <w:rPr>
          <w:rFonts w:ascii="SimSun" w:hAnsi="SimSun" w:eastAsia="SimSun" w:cs="SimSun"/>
          <w:color w:val="000000"/>
          <w:sz w:val="21"/>
        </w:rPr>
        <w:t xml:space="preserve">电子邮箱：</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rPr>
          <w:rFonts w:ascii="Times New Roman" w:hAnsi="Times New Roman" w:eastAsia="Times New Roman" w:cs="Times New Roman"/>
          <w:sz w:val="21"/>
          <w:szCs w:val="21"/>
        </w:rPr>
      </w:r>
      <w:r/>
    </w:p>
    <w:p>
      <w:pPr>
        <w:ind w:left="0" w:right="0" w:firstLine="425"/>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响应单位：（公章）</w:t>
      </w:r>
      <w:r/>
    </w:p>
    <w:p>
      <w:pPr>
        <w:ind w:left="0" w:right="0" w:firstLine="42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法定代表人或代理人：（签字或签章）</w:t>
      </w:r>
      <w:r/>
    </w:p>
    <w:p>
      <w:pPr>
        <w:ind w:left="0" w:right="0" w:firstLine="42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附件9：投标（响应）保证承诺书</w:t>
      </w:r>
      <w:r/>
    </w:p>
    <w:p>
      <w:pPr>
        <w:ind w:left="0" w:right="0" w:firstLine="0"/>
        <w:jc w:val="center"/>
        <w:spacing w:before="100" w:after="10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投标（响应）保证承诺书</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w:t>
      </w:r>
      <w:r>
        <w:rPr>
          <w:rFonts w:ascii="SimSun" w:hAnsi="SimSun" w:eastAsia="SimSun" w:cs="SimSun"/>
          <w:color w:val="000000"/>
          <w:sz w:val="21"/>
          <w:u w:val="single"/>
        </w:rPr>
        <w:t xml:space="preserve">                   （采购代理机构名称）</w:t>
      </w:r>
      <w:r/>
    </w:p>
    <w:p>
      <w:pPr>
        <w:ind w:left="0" w:right="0" w:firstLine="6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我（单位/本人，以下统称我单位）自愿参加</w:t>
      </w:r>
      <w:r>
        <w:rPr>
          <w:rFonts w:ascii="SimSun" w:hAnsi="SimSun" w:eastAsia="SimSun" w:cs="SimSun"/>
          <w:color w:val="000000"/>
          <w:sz w:val="21"/>
          <w:u w:val="single"/>
        </w:rPr>
        <w:t xml:space="preserve">                       （项目名称和采购编号）</w:t>
      </w:r>
      <w:r>
        <w:rPr>
          <w:rFonts w:ascii="SimSun" w:hAnsi="SimSun" w:eastAsia="SimSun" w:cs="SimSun"/>
          <w:color w:val="000000"/>
          <w:sz w:val="21"/>
        </w:rPr>
        <w:t xml:space="preserve">的投标（响应）,并做出如下承诺：</w:t>
      </w:r>
      <w:r/>
    </w:p>
    <w:p>
      <w:pPr>
        <w:ind w:left="0" w:right="0" w:firstLine="6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一、除不可抗力外，我单位如果发生以下行为，将在行为发生的10个工作日内，向贵方</w:t>
      </w:r>
      <w:r>
        <w:rPr>
          <w:rFonts w:ascii="SimSun" w:hAnsi="SimSun" w:eastAsia="SimSun" w:cs="SimSun"/>
          <w:color w:val="000000"/>
          <w:sz w:val="21"/>
          <w:u w:val="single"/>
        </w:rPr>
        <w:t xml:space="preserve">（或采购人）</w:t>
      </w:r>
      <w:r>
        <w:rPr>
          <w:rFonts w:ascii="SimSun" w:hAnsi="SimSun" w:eastAsia="SimSun" w:cs="SimSun"/>
          <w:color w:val="000000"/>
          <w:sz w:val="21"/>
        </w:rPr>
        <w:t xml:space="preserve">支付本采购文件公布的预算金额（或最高限价）的2%作为违约赔偿金（数量不确定的单价采购须约定具体金额）。</w:t>
      </w:r>
      <w:r/>
    </w:p>
    <w:p>
      <w:pPr>
        <w:ind w:left="0" w:right="0" w:firstLine="55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1.自响应截止时间至本项目发布成交公告为止，撤销响应；</w:t>
      </w:r>
      <w:r/>
    </w:p>
    <w:p>
      <w:pPr>
        <w:ind w:left="0" w:right="0" w:firstLine="55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2.成交后不依法与采购人签订合同；</w:t>
      </w:r>
      <w:r/>
    </w:p>
    <w:p>
      <w:pPr>
        <w:ind w:left="0" w:right="0" w:firstLine="55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3.成交后不按本采购文件规定向贵方缴纳采购代理费。</w:t>
      </w:r>
      <w:r/>
    </w:p>
    <w:p>
      <w:pPr>
        <w:ind w:left="0" w:right="0" w:firstLine="6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二、我单位知晓上述行为的法律后果，承认本承诺书作为贵方</w:t>
      </w:r>
      <w:r>
        <w:rPr>
          <w:rFonts w:ascii="SimSun" w:hAnsi="SimSun" w:eastAsia="SimSun" w:cs="SimSun"/>
          <w:color w:val="000000"/>
          <w:sz w:val="21"/>
          <w:u w:val="single"/>
        </w:rPr>
        <w:t xml:space="preserve">（或采购人）</w:t>
      </w:r>
      <w:r>
        <w:rPr>
          <w:rFonts w:ascii="SimSun" w:hAnsi="SimSun" w:eastAsia="SimSun" w:cs="SimSun"/>
          <w:color w:val="000000"/>
          <w:sz w:val="21"/>
        </w:rPr>
        <w:t xml:space="preserve">要求我单位履行违约赔偿义务的依据作用。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响应单位：</w:t>
      </w:r>
      <w:r>
        <w:rPr>
          <w:rFonts w:ascii="SimSun" w:hAnsi="SimSun" w:eastAsia="SimSun" w:cs="SimSun"/>
          <w:color w:val="000000"/>
          <w:sz w:val="21"/>
          <w:u w:val="single"/>
        </w:rPr>
        <w:t xml:space="preserve">                     </w:t>
      </w:r>
      <w:r>
        <w:rPr>
          <w:rFonts w:ascii="SimSun" w:hAnsi="SimSun" w:eastAsia="SimSun" w:cs="SimSun"/>
          <w:color w:val="000000"/>
          <w:sz w:val="21"/>
        </w:rPr>
        <w:t xml:space="preserve">（盖公章）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w:t>
      </w:r>
      <w:r>
        <w:rPr>
          <w:rFonts w:ascii="SimSun" w:hAnsi="SimSun" w:eastAsia="SimSun" w:cs="SimSun"/>
          <w:color w:val="000000"/>
          <w:sz w:val="21"/>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w:t>
      </w:r>
      <w:r>
        <w:rPr>
          <w:rFonts w:ascii="SimSun" w:hAnsi="SimSun" w:eastAsia="SimSun" w:cs="SimSun"/>
          <w:color w:val="000000"/>
          <w:sz w:val="21"/>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法定代表人或代理人(签字或签章)：</w:t>
      </w:r>
      <w:r>
        <w:rPr>
          <w:rFonts w:ascii="SimSun" w:hAnsi="SimSun" w:eastAsia="SimSun" w:cs="SimSun"/>
          <w:color w:val="000000"/>
          <w:sz w:val="21"/>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rPr>
          <w:rFonts w:ascii="SimSun" w:hAnsi="SimSun" w:eastAsia="SimSun" w:cs="SimSun"/>
          <w:color w:val="000000"/>
          <w:sz w:val="21"/>
          <w:u w:val="single"/>
        </w:rPr>
        <w:t xml:space="preserve">                </w:t>
      </w:r>
      <w:r/>
    </w:p>
    <w:p>
      <w:pPr>
        <w:ind w:left="0" w:right="0" w:firstLine="525"/>
        <w:jc w:val="both"/>
        <w:spacing w:before="0" w:after="0" w:line="400" w:lineRule="atLeast"/>
        <w:tabs>
          <w:tab w:val="left" w:pos="28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附件</w:t>
      </w:r>
      <w:r>
        <w:rPr>
          <w:rFonts w:ascii="SimSun" w:hAnsi="SimSun" w:eastAsia="SimSun" w:cs="SimSun"/>
          <w:b/>
          <w:color w:val="000000"/>
          <w:sz w:val="21"/>
        </w:rPr>
        <w:t xml:space="preserve">10：商务条款偏离表、服务</w:t>
      </w:r>
      <w:r>
        <w:rPr>
          <w:rFonts w:ascii="SimSun" w:hAnsi="SimSun" w:eastAsia="SimSun" w:cs="SimSun"/>
          <w:b/>
          <w:color w:val="000000"/>
          <w:sz w:val="22"/>
        </w:rPr>
        <w:t xml:space="preserve">要求偏离表</w:t>
      </w:r>
      <w:r/>
    </w:p>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商务条款偏离表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bl>
      <w:tblPr>
        <w:tblStyle w:val="99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26"/>
        <w:gridCol w:w="1451"/>
        <w:gridCol w:w="1769"/>
        <w:gridCol w:w="1769"/>
        <w:gridCol w:w="1769"/>
        <w:gridCol w:w="1769"/>
      </w:tblGrid>
      <w:tr>
        <w:trPr>
          <w:trHeight w:val="64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6"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51" w:type="dxa"/>
            <w:vAlign w:val="center"/>
            <w:textDirection w:val="lrTb"/>
            <w:noWrap/>
          </w:tcPr>
          <w:p>
            <w:pPr>
              <w:ind w:left="54"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      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69"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69"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69"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偏离说明</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69"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rHeight w:val="64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6"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9" w:type="dxa"/>
            <w:vAlign w:val="top"/>
            <w:textDirection w:val="lrTb"/>
            <w:noWrap/>
          </w:tcPr>
          <w:p>
            <w:pPr>
              <w:ind w:left="0" w:right="0" w:firstLine="699"/>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9" w:type="dxa"/>
            <w:vAlign w:val="top"/>
            <w:textDirection w:val="lrTb"/>
            <w:noWrap/>
          </w:tcPr>
          <w:p>
            <w:pPr>
              <w:ind w:left="0" w:right="0" w:firstLine="699"/>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9" w:type="dxa"/>
            <w:vAlign w:val="top"/>
            <w:textDirection w:val="lrTb"/>
            <w:noWrap/>
          </w:tcPr>
          <w:p>
            <w:pPr>
              <w:ind w:left="0" w:right="0" w:firstLine="699"/>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9" w:type="dxa"/>
            <w:vAlign w:val="top"/>
            <w:textDirection w:val="lrTb"/>
            <w:noWrap/>
          </w:tcPr>
          <w:p>
            <w:pPr>
              <w:ind w:left="0" w:right="0" w:firstLine="699"/>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4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6"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9" w:type="dxa"/>
            <w:vAlign w:val="top"/>
            <w:textDirection w:val="lrTb"/>
            <w:noWrap/>
          </w:tcPr>
          <w:p>
            <w:pPr>
              <w:ind w:left="0" w:right="0" w:firstLine="699"/>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9" w:type="dxa"/>
            <w:vAlign w:val="top"/>
            <w:textDirection w:val="lrTb"/>
            <w:noWrap/>
          </w:tcPr>
          <w:p>
            <w:pPr>
              <w:ind w:left="0" w:right="0" w:firstLine="699"/>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9" w:type="dxa"/>
            <w:vAlign w:val="top"/>
            <w:textDirection w:val="lrTb"/>
            <w:noWrap/>
          </w:tcPr>
          <w:p>
            <w:pPr>
              <w:ind w:left="0" w:right="0" w:firstLine="699"/>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9" w:type="dxa"/>
            <w:vAlign w:val="top"/>
            <w:textDirection w:val="lrTb"/>
            <w:noWrap/>
          </w:tcPr>
          <w:p>
            <w:pPr>
              <w:ind w:left="0" w:right="0" w:firstLine="699"/>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4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6"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9" w:type="dxa"/>
            <w:vAlign w:val="top"/>
            <w:textDirection w:val="lrTb"/>
            <w:noWrap/>
          </w:tcPr>
          <w:p>
            <w:pPr>
              <w:ind w:left="0" w:right="0" w:firstLine="699"/>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9" w:type="dxa"/>
            <w:vAlign w:val="top"/>
            <w:textDirection w:val="lrTb"/>
            <w:noWrap/>
          </w:tcPr>
          <w:p>
            <w:pPr>
              <w:ind w:left="0" w:right="0" w:firstLine="699"/>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9" w:type="dxa"/>
            <w:vAlign w:val="top"/>
            <w:textDirection w:val="lrTb"/>
            <w:noWrap/>
          </w:tcPr>
          <w:p>
            <w:pPr>
              <w:ind w:left="0" w:right="0" w:firstLine="699"/>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9" w:type="dxa"/>
            <w:vAlign w:val="top"/>
            <w:textDirection w:val="lrTb"/>
            <w:noWrap/>
          </w:tcPr>
          <w:p>
            <w:pPr>
              <w:ind w:left="0" w:right="0" w:firstLine="699"/>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4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6"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9" w:type="dxa"/>
            <w:vAlign w:val="top"/>
            <w:textDirection w:val="lrTb"/>
            <w:noWrap/>
          </w:tcPr>
          <w:p>
            <w:pPr>
              <w:ind w:left="0" w:right="0" w:firstLine="699"/>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9" w:type="dxa"/>
            <w:vAlign w:val="top"/>
            <w:textDirection w:val="lrTb"/>
            <w:noWrap/>
          </w:tcPr>
          <w:p>
            <w:pPr>
              <w:ind w:left="0" w:right="0" w:firstLine="699"/>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9" w:type="dxa"/>
            <w:vAlign w:val="top"/>
            <w:textDirection w:val="lrTb"/>
            <w:noWrap/>
          </w:tcPr>
          <w:p>
            <w:pPr>
              <w:ind w:left="0" w:right="0" w:firstLine="699"/>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9" w:type="dxa"/>
            <w:vAlign w:val="top"/>
            <w:textDirection w:val="lrTb"/>
            <w:noWrap/>
          </w:tcPr>
          <w:p>
            <w:pPr>
              <w:ind w:left="0" w:right="0" w:firstLine="699"/>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响应单位的响应文件（除服务要求部分）与采购文件规定的有偏离的，应在此表中说明。未在上表中说明的，如在响应文件其他内容中已有文字说明的，则以已有文字说明为准，否则，将被认为完全响应采购文件的规定。</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响应单位：（公章）</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法定代表人或代理人：（签字或签章）</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shd w:val="nil" w:color="auto"/>
        <w:rPr>
          <w:rFonts w:ascii="Times New Roman" w:hAnsi="Times New Roman" w:eastAsia="Times New Roman" w:cs="Times New Roman"/>
          <w:sz w:val="21"/>
          <w:szCs w:val="21"/>
        </w:rPr>
      </w:pPr>
      <w:r>
        <w:rPr>
          <w:rFonts w:ascii="SimSun" w:hAnsi="SimSun" w:eastAsia="SimSun" w:cs="SimSun"/>
          <w:b/>
          <w:color w:val="000000"/>
          <w:sz w:val="22"/>
          <w:highlight w:val="none"/>
        </w:rPr>
        <w:br w:type="page" w:clear="all"/>
      </w:r>
      <w:r>
        <w:rPr>
          <w:rFonts w:ascii="SimSun" w:hAnsi="SimSun" w:eastAsia="SimSun" w:cs="SimSun"/>
          <w:b/>
          <w:color w:val="000000"/>
          <w:sz w:val="22"/>
          <w:highlight w:val="none"/>
        </w:rPr>
      </w:r>
      <w:r/>
    </w:p>
    <w:p>
      <w:pPr>
        <w:ind w:left="0" w:right="0" w:firstLine="0"/>
        <w:jc w:val="center"/>
        <w:spacing w:before="0" w:after="0" w:line="85" w:lineRule="atLeast"/>
        <w:rPr>
          <w:rFonts w:ascii="SimSun" w:hAnsi="SimSun" w:eastAsia="SimSun" w:cs="SimSun"/>
          <w:b/>
          <w:bCs/>
          <w:color w:val="000000"/>
          <w:sz w:val="22"/>
          <w:szCs w:val="2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服务要求偏离表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bl>
      <w:tblPr>
        <w:tblStyle w:val="99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26"/>
        <w:gridCol w:w="1451"/>
        <w:gridCol w:w="1769"/>
        <w:gridCol w:w="1770"/>
        <w:gridCol w:w="1770"/>
        <w:gridCol w:w="1770"/>
      </w:tblGrid>
      <w:tr>
        <w:trPr>
          <w:trHeight w:val="57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6"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51" w:type="dxa"/>
            <w:vAlign w:val="center"/>
            <w:textDirection w:val="lrTb"/>
            <w:noWrap/>
          </w:tcPr>
          <w:p>
            <w:pPr>
              <w:ind w:left="54"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      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69"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70"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70"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偏离说明</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70"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rHeight w:val="57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6"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1" w:type="dxa"/>
            <w:vAlign w:val="top"/>
            <w:textDirection w:val="lrTb"/>
            <w:noWrap/>
          </w:tcPr>
          <w:p>
            <w:pPr>
              <w:ind w:left="0" w:right="0" w:firstLine="699"/>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9" w:type="dxa"/>
            <w:vAlign w:val="top"/>
            <w:textDirection w:val="lrTb"/>
            <w:noWrap/>
          </w:tcPr>
          <w:p>
            <w:pPr>
              <w:ind w:left="0" w:right="0" w:firstLine="699"/>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0" w:type="dxa"/>
            <w:vAlign w:val="top"/>
            <w:textDirection w:val="lrTb"/>
            <w:noWrap/>
          </w:tcPr>
          <w:p>
            <w:pPr>
              <w:ind w:left="0" w:right="0" w:firstLine="699"/>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0" w:type="dxa"/>
            <w:vAlign w:val="top"/>
            <w:textDirection w:val="lrTb"/>
            <w:noWrap/>
          </w:tcPr>
          <w:p>
            <w:pPr>
              <w:ind w:left="0" w:right="0" w:firstLine="699"/>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0" w:type="dxa"/>
            <w:vAlign w:val="top"/>
            <w:textDirection w:val="lrTb"/>
            <w:noWrap/>
          </w:tcPr>
          <w:p>
            <w:pPr>
              <w:ind w:left="0" w:right="0" w:firstLine="699"/>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7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6"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1" w:type="dxa"/>
            <w:vAlign w:val="top"/>
            <w:textDirection w:val="lrTb"/>
            <w:noWrap/>
          </w:tcPr>
          <w:p>
            <w:pPr>
              <w:ind w:left="0" w:right="0" w:firstLine="699"/>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9" w:type="dxa"/>
            <w:vAlign w:val="top"/>
            <w:textDirection w:val="lrTb"/>
            <w:noWrap/>
          </w:tcPr>
          <w:p>
            <w:pPr>
              <w:ind w:left="0" w:right="0" w:firstLine="699"/>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0" w:type="dxa"/>
            <w:vAlign w:val="top"/>
            <w:textDirection w:val="lrTb"/>
            <w:noWrap/>
          </w:tcPr>
          <w:p>
            <w:pPr>
              <w:ind w:left="0" w:right="0" w:firstLine="699"/>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0" w:type="dxa"/>
            <w:vAlign w:val="top"/>
            <w:textDirection w:val="lrTb"/>
            <w:noWrap/>
          </w:tcPr>
          <w:p>
            <w:pPr>
              <w:ind w:left="0" w:right="0" w:firstLine="699"/>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0" w:type="dxa"/>
            <w:vAlign w:val="top"/>
            <w:textDirection w:val="lrTb"/>
            <w:noWrap/>
          </w:tcPr>
          <w:p>
            <w:pPr>
              <w:ind w:left="0" w:right="0" w:firstLine="699"/>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7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6"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1" w:type="dxa"/>
            <w:vAlign w:val="top"/>
            <w:textDirection w:val="lrTb"/>
            <w:noWrap/>
          </w:tcPr>
          <w:p>
            <w:pPr>
              <w:ind w:left="0" w:right="0" w:firstLine="699"/>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9" w:type="dxa"/>
            <w:vAlign w:val="top"/>
            <w:textDirection w:val="lrTb"/>
            <w:noWrap/>
          </w:tcPr>
          <w:p>
            <w:pPr>
              <w:ind w:left="0" w:right="0" w:firstLine="699"/>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0" w:type="dxa"/>
            <w:vAlign w:val="top"/>
            <w:textDirection w:val="lrTb"/>
            <w:noWrap/>
          </w:tcPr>
          <w:p>
            <w:pPr>
              <w:ind w:left="0" w:right="0" w:firstLine="699"/>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0" w:type="dxa"/>
            <w:vAlign w:val="top"/>
            <w:textDirection w:val="lrTb"/>
            <w:noWrap/>
          </w:tcPr>
          <w:p>
            <w:pPr>
              <w:ind w:left="0" w:right="0" w:firstLine="699"/>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0" w:type="dxa"/>
            <w:vAlign w:val="top"/>
            <w:textDirection w:val="lrTb"/>
            <w:noWrap/>
          </w:tcPr>
          <w:p>
            <w:pPr>
              <w:ind w:left="0" w:right="0" w:firstLine="699"/>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7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6"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1" w:type="dxa"/>
            <w:vAlign w:val="top"/>
            <w:textDirection w:val="lrTb"/>
            <w:noWrap/>
          </w:tcPr>
          <w:p>
            <w:pPr>
              <w:ind w:left="0" w:right="0" w:firstLine="699"/>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9" w:type="dxa"/>
            <w:vAlign w:val="top"/>
            <w:textDirection w:val="lrTb"/>
            <w:noWrap/>
          </w:tcPr>
          <w:p>
            <w:pPr>
              <w:ind w:left="0" w:right="0" w:firstLine="699"/>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0" w:type="dxa"/>
            <w:vAlign w:val="top"/>
            <w:textDirection w:val="lrTb"/>
            <w:noWrap/>
          </w:tcPr>
          <w:p>
            <w:pPr>
              <w:ind w:left="0" w:right="0" w:firstLine="699"/>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0" w:type="dxa"/>
            <w:vAlign w:val="top"/>
            <w:textDirection w:val="lrTb"/>
            <w:noWrap/>
          </w:tcPr>
          <w:p>
            <w:pPr>
              <w:ind w:left="0" w:right="0" w:firstLine="699"/>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0" w:type="dxa"/>
            <w:vAlign w:val="top"/>
            <w:textDirection w:val="lrTb"/>
            <w:noWrap/>
          </w:tcPr>
          <w:p>
            <w:pPr>
              <w:ind w:left="0" w:right="0" w:firstLine="699"/>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9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6"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1" w:type="dxa"/>
            <w:vAlign w:val="top"/>
            <w:textDirection w:val="lrTb"/>
            <w:noWrap/>
          </w:tcPr>
          <w:p>
            <w:pPr>
              <w:ind w:left="0" w:right="0" w:firstLine="699"/>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9" w:type="dxa"/>
            <w:vAlign w:val="top"/>
            <w:textDirection w:val="lrTb"/>
            <w:noWrap/>
          </w:tcPr>
          <w:p>
            <w:pPr>
              <w:ind w:left="0" w:right="0" w:firstLine="699"/>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0" w:type="dxa"/>
            <w:vAlign w:val="top"/>
            <w:textDirection w:val="lrTb"/>
            <w:noWrap/>
          </w:tcPr>
          <w:p>
            <w:pPr>
              <w:ind w:left="0" w:right="0" w:firstLine="699"/>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0" w:type="dxa"/>
            <w:vAlign w:val="top"/>
            <w:textDirection w:val="lrTb"/>
            <w:noWrap/>
          </w:tcPr>
          <w:p>
            <w:pPr>
              <w:ind w:left="0" w:right="0" w:firstLine="699"/>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0" w:type="dxa"/>
            <w:vAlign w:val="top"/>
            <w:textDirection w:val="lrTb"/>
            <w:noWrap/>
          </w:tcPr>
          <w:p>
            <w:pPr>
              <w:ind w:left="0" w:right="0" w:firstLine="699"/>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响应单位应对照采购文件中服务要求等与采购文件的规定有偏离的，应在此表中申明与技术要求条文的偏差和例外。未在上表中说明的，如在响应文件其他内容中已有文字说明的，则以已有文字说明为准，否则，将被认为完全响应采购文件的规定。</w:t>
      </w:r>
      <w:r/>
    </w:p>
    <w:p>
      <w:pPr>
        <w:ind w:left="0" w:right="0" w:firstLine="63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响应单位：（公章）</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法定代表人或代理人：（签字或签章）</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100" w:after="10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100" w:after="10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100" w:after="10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100" w:after="10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100" w:after="10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附件11：拟投入项目人员配置表</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拟投入项目人员配置表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bl>
      <w:tblPr>
        <w:tblStyle w:val="99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37"/>
        <w:gridCol w:w="860"/>
        <w:gridCol w:w="868"/>
        <w:gridCol w:w="810"/>
        <w:gridCol w:w="807"/>
        <w:gridCol w:w="830"/>
        <w:gridCol w:w="703"/>
        <w:gridCol w:w="1056"/>
        <w:gridCol w:w="105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7" w:type="dxa"/>
            <w:vAlign w:val="center"/>
            <w:textDirection w:val="lrTb"/>
            <w:noWrap w:val="false"/>
          </w:tcPr>
          <w:p>
            <w:pPr>
              <w:ind w:left="0" w:right="0" w:firstLine="0"/>
              <w:jc w:val="center"/>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60" w:type="dxa"/>
            <w:vAlign w:val="center"/>
            <w:textDirection w:val="lrTb"/>
            <w:noWrap w:val="false"/>
          </w:tcPr>
          <w:p>
            <w:pPr>
              <w:ind w:left="0" w:right="0" w:firstLine="0"/>
              <w:jc w:val="center"/>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val="false"/>
          </w:tcPr>
          <w:p>
            <w:pPr>
              <w:ind w:left="0" w:right="0" w:firstLine="0"/>
              <w:jc w:val="center"/>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年龄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10" w:type="dxa"/>
            <w:vAlign w:val="center"/>
            <w:textDirection w:val="lrTb"/>
            <w:noWrap w:val="false"/>
          </w:tcPr>
          <w:p>
            <w:pPr>
              <w:ind w:left="0" w:right="0" w:firstLine="0"/>
              <w:jc w:val="center"/>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性别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7" w:type="dxa"/>
            <w:vAlign w:val="center"/>
            <w:textDirection w:val="lrTb"/>
            <w:noWrap w:val="false"/>
          </w:tcPr>
          <w:p>
            <w:pPr>
              <w:ind w:left="0" w:right="0" w:firstLine="0"/>
              <w:jc w:val="center"/>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学历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专业</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0"/>
              <w:jc w:val="center"/>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职称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56" w:type="dxa"/>
            <w:vAlign w:val="center"/>
            <w:textDirection w:val="lrTb"/>
            <w:noWrap w:val="false"/>
          </w:tcPr>
          <w:p>
            <w:pPr>
              <w:ind w:left="0" w:right="0" w:firstLine="0"/>
              <w:jc w:val="center"/>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技术资质</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56" w:type="dxa"/>
            <w:vAlign w:val="center"/>
            <w:textDirection w:val="lrTb"/>
            <w:noWrap w:val="false"/>
          </w:tcPr>
          <w:p>
            <w:pPr>
              <w:ind w:left="0" w:right="0" w:firstLine="0"/>
              <w:jc w:val="center"/>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在本项目拟任职务</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7" w:type="dxa"/>
            <w:vAlign w:val="center"/>
            <w:textDirection w:val="lrTb"/>
            <w:noWrap w:val="false"/>
          </w:tcPr>
          <w:p>
            <w:pPr>
              <w:ind w:left="0" w:right="0" w:firstLine="0"/>
              <w:jc w:val="center"/>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0" w:type="dxa"/>
            <w:vAlign w:val="center"/>
            <w:textDirection w:val="lrTb"/>
            <w:noWrap w:val="false"/>
          </w:tcPr>
          <w:p>
            <w:pPr>
              <w:ind w:left="0" w:right="0" w:firstLine="0"/>
              <w:jc w:val="center"/>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val="false"/>
          </w:tcPr>
          <w:p>
            <w:pPr>
              <w:ind w:left="0" w:right="0" w:firstLine="0"/>
              <w:jc w:val="center"/>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0" w:type="dxa"/>
            <w:vAlign w:val="center"/>
            <w:textDirection w:val="lrTb"/>
            <w:noWrap w:val="false"/>
          </w:tcPr>
          <w:p>
            <w:pPr>
              <w:ind w:left="0" w:right="0" w:firstLine="0"/>
              <w:jc w:val="center"/>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7" w:type="dxa"/>
            <w:vAlign w:val="center"/>
            <w:textDirection w:val="lrTb"/>
            <w:noWrap w:val="false"/>
          </w:tcPr>
          <w:p>
            <w:pPr>
              <w:ind w:left="0" w:right="0" w:firstLine="0"/>
              <w:jc w:val="center"/>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0"/>
              <w:jc w:val="center"/>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vAlign w:val="center"/>
            <w:textDirection w:val="lrTb"/>
            <w:noWrap w:val="false"/>
          </w:tcPr>
          <w:p>
            <w:pPr>
              <w:ind w:left="0" w:right="0" w:firstLine="0"/>
              <w:jc w:val="center"/>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vAlign w:val="center"/>
            <w:textDirection w:val="lrTb"/>
            <w:noWrap w:val="false"/>
          </w:tcPr>
          <w:p>
            <w:pPr>
              <w:ind w:left="0" w:right="0" w:firstLine="0"/>
              <w:jc w:val="center"/>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7" w:type="dxa"/>
            <w:vAlign w:val="center"/>
            <w:textDirection w:val="lrTb"/>
            <w:noWrap w:val="false"/>
          </w:tcPr>
          <w:p>
            <w:pPr>
              <w:ind w:left="0" w:right="0" w:firstLine="0"/>
              <w:jc w:val="center"/>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0" w:type="dxa"/>
            <w:vAlign w:val="center"/>
            <w:textDirection w:val="lrTb"/>
            <w:noWrap w:val="false"/>
          </w:tcPr>
          <w:p>
            <w:pPr>
              <w:ind w:left="0" w:right="0" w:firstLine="0"/>
              <w:jc w:val="center"/>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val="false"/>
          </w:tcPr>
          <w:p>
            <w:pPr>
              <w:ind w:left="0" w:right="0" w:firstLine="0"/>
              <w:jc w:val="center"/>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0" w:type="dxa"/>
            <w:vAlign w:val="center"/>
            <w:textDirection w:val="lrTb"/>
            <w:noWrap w:val="false"/>
          </w:tcPr>
          <w:p>
            <w:pPr>
              <w:ind w:left="0" w:right="0" w:firstLine="0"/>
              <w:jc w:val="center"/>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7" w:type="dxa"/>
            <w:vAlign w:val="center"/>
            <w:textDirection w:val="lrTb"/>
            <w:noWrap w:val="false"/>
          </w:tcPr>
          <w:p>
            <w:pPr>
              <w:ind w:left="0" w:right="0" w:firstLine="0"/>
              <w:jc w:val="center"/>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0"/>
              <w:jc w:val="center"/>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vAlign w:val="center"/>
            <w:textDirection w:val="lrTb"/>
            <w:noWrap w:val="false"/>
          </w:tcPr>
          <w:p>
            <w:pPr>
              <w:ind w:left="0" w:right="0" w:firstLine="0"/>
              <w:jc w:val="center"/>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vAlign w:val="center"/>
            <w:textDirection w:val="lrTb"/>
            <w:noWrap w:val="false"/>
          </w:tcPr>
          <w:p>
            <w:pPr>
              <w:ind w:left="0" w:right="0" w:firstLine="0"/>
              <w:jc w:val="center"/>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7" w:type="dxa"/>
            <w:vAlign w:val="center"/>
            <w:textDirection w:val="lrTb"/>
            <w:noWrap w:val="false"/>
          </w:tcPr>
          <w:p>
            <w:pPr>
              <w:ind w:left="0" w:right="0" w:firstLine="0"/>
              <w:jc w:val="center"/>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0" w:type="dxa"/>
            <w:vAlign w:val="center"/>
            <w:textDirection w:val="lrTb"/>
            <w:noWrap w:val="false"/>
          </w:tcPr>
          <w:p>
            <w:pPr>
              <w:ind w:left="0" w:right="0" w:firstLine="0"/>
              <w:jc w:val="center"/>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val="false"/>
          </w:tcPr>
          <w:p>
            <w:pPr>
              <w:ind w:left="0" w:right="0" w:firstLine="0"/>
              <w:jc w:val="center"/>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0" w:type="dxa"/>
            <w:vAlign w:val="center"/>
            <w:textDirection w:val="lrTb"/>
            <w:noWrap w:val="false"/>
          </w:tcPr>
          <w:p>
            <w:pPr>
              <w:ind w:left="0" w:right="0" w:firstLine="0"/>
              <w:jc w:val="center"/>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7" w:type="dxa"/>
            <w:vAlign w:val="center"/>
            <w:textDirection w:val="lrTb"/>
            <w:noWrap w:val="false"/>
          </w:tcPr>
          <w:p>
            <w:pPr>
              <w:ind w:left="0" w:right="0" w:firstLine="0"/>
              <w:jc w:val="center"/>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0"/>
              <w:jc w:val="center"/>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vAlign w:val="center"/>
            <w:textDirection w:val="lrTb"/>
            <w:noWrap w:val="false"/>
          </w:tcPr>
          <w:p>
            <w:pPr>
              <w:ind w:left="0" w:right="0" w:firstLine="0"/>
              <w:jc w:val="center"/>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vAlign w:val="center"/>
            <w:textDirection w:val="lrTb"/>
            <w:noWrap w:val="false"/>
          </w:tcPr>
          <w:p>
            <w:pPr>
              <w:ind w:left="0" w:right="0" w:firstLine="0"/>
              <w:jc w:val="center"/>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7" w:type="dxa"/>
            <w:vAlign w:val="center"/>
            <w:textDirection w:val="lrTb"/>
            <w:noWrap w:val="false"/>
          </w:tcPr>
          <w:p>
            <w:pPr>
              <w:ind w:left="0" w:right="0" w:firstLine="0"/>
              <w:jc w:val="center"/>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0" w:type="dxa"/>
            <w:vAlign w:val="center"/>
            <w:textDirection w:val="lrTb"/>
            <w:noWrap w:val="false"/>
          </w:tcPr>
          <w:p>
            <w:pPr>
              <w:ind w:left="0" w:right="0" w:firstLine="0"/>
              <w:jc w:val="center"/>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val="false"/>
          </w:tcPr>
          <w:p>
            <w:pPr>
              <w:ind w:left="0" w:right="0" w:firstLine="0"/>
              <w:jc w:val="center"/>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0" w:type="dxa"/>
            <w:vAlign w:val="center"/>
            <w:textDirection w:val="lrTb"/>
            <w:noWrap w:val="false"/>
          </w:tcPr>
          <w:p>
            <w:pPr>
              <w:ind w:left="0" w:right="0" w:firstLine="0"/>
              <w:jc w:val="center"/>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7" w:type="dxa"/>
            <w:vAlign w:val="center"/>
            <w:textDirection w:val="lrTb"/>
            <w:noWrap w:val="false"/>
          </w:tcPr>
          <w:p>
            <w:pPr>
              <w:ind w:left="0" w:right="0" w:firstLine="0"/>
              <w:jc w:val="center"/>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0"/>
              <w:jc w:val="center"/>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vAlign w:val="center"/>
            <w:textDirection w:val="lrTb"/>
            <w:noWrap w:val="false"/>
          </w:tcPr>
          <w:p>
            <w:pPr>
              <w:ind w:left="0" w:right="0" w:firstLine="0"/>
              <w:jc w:val="center"/>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vAlign w:val="center"/>
            <w:textDirection w:val="lrTb"/>
            <w:noWrap w:val="false"/>
          </w:tcPr>
          <w:p>
            <w:pPr>
              <w:ind w:left="0" w:right="0" w:firstLine="0"/>
              <w:jc w:val="center"/>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gridSpan w:val="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27" w:type="dxa"/>
            <w:vAlign w:val="center"/>
            <w:textDirection w:val="lrTb"/>
            <w:noWrap w:val="false"/>
          </w:tcPr>
          <w:p>
            <w:pPr>
              <w:ind w:left="0" w:right="0" w:firstLine="0"/>
              <w:jc w:val="center"/>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（可加行）</w:t>
            </w:r>
            <w:r/>
          </w:p>
        </w:tc>
      </w:tr>
    </w:tbl>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99" w:lineRule="atLeast"/>
        <w:tabs>
          <w:tab w:val="left" w:pos="266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响应单位：（公章）</w:t>
        <w:tab/>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法定代表人或代理人：（签字或签章）</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附件12：类似项目业绩表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类似项目业绩表</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bl>
      <w:tblPr>
        <w:tblStyle w:val="99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15"/>
        <w:gridCol w:w="2234"/>
        <w:gridCol w:w="1736"/>
        <w:gridCol w:w="2247"/>
        <w:gridCol w:w="2321"/>
      </w:tblGrid>
      <w:tr>
        <w:trPr>
          <w:trHeight w:val="168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36" w:type="dxa"/>
            <w:vAlign w:val="center"/>
            <w:textDirection w:val="lrTb"/>
            <w:noWrap w:val="false"/>
          </w:tcPr>
          <w:p>
            <w:pPr>
              <w:ind w:left="0" w:right="0" w:firstLine="0"/>
              <w:jc w:val="center"/>
              <w:spacing w:before="0" w:after="0" w:line="85" w:lineRule="atLeast"/>
              <w:tabs>
                <w:tab w:val="left" w:pos="625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项目时间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47" w:type="dxa"/>
            <w:vAlign w:val="center"/>
            <w:textDirection w:val="lrTb"/>
            <w:noWrap w:val="false"/>
          </w:tcPr>
          <w:p>
            <w:pPr>
              <w:ind w:left="0" w:right="0" w:firstLine="0"/>
              <w:jc w:val="center"/>
              <w:spacing w:before="0" w:after="0" w:line="85" w:lineRule="atLeast"/>
              <w:tabs>
                <w:tab w:val="left" w:pos="625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采购单位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rHeight w:val="58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58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58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58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58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58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61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bl>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响应单位：（公章）</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法定代表人或代理人：（签字或签章）</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right"/>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（全文完）</w:t>
      </w:r>
      <w:r/>
    </w:p>
    <w:p>
      <w:r/>
      <w:r/>
    </w:p>
    <w:sectPr>
      <w:footerReference w:type="default" r:id="rId12"/>
      <w:footnotePr/>
      <w:endnotePr/>
      <w:type w:val="nextPage"/>
      <w:pgSz w:w="11906" w:h="16838" w:orient="portrait"/>
      <w:pgMar w:top="1440" w:right="1274" w:bottom="1134"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ymbol">
    <w:panose1 w:val="05050102010706020507"/>
  </w:font>
  <w:font w:name="Wingdings">
    <w:panose1 w:val="05000000000000000000"/>
  </w:font>
  <w:font w:name="仿宋">
    <w:panose1 w:val="02010609060101010101"/>
  </w:font>
  <w:font w:name="方正仿宋简体">
    <w:panose1 w:val="020B0503020202020204"/>
  </w:font>
  <w:font w:name="Tahoma">
    <w:panose1 w:val="020B0604030504040204"/>
  </w:font>
  <w:font w:name="Courier New">
    <w:panose1 w:val="02070309020205020404"/>
  </w:font>
  <w:font w:name="Calibri">
    <w:panose1 w:val="020F0502020204030204"/>
  </w:font>
  <w:font w:name="微软雅黑">
    <w:panose1 w:val="020B0503020204020204"/>
  </w:font>
  <w:font w:name="楷体_GB2312">
    <w:panose1 w:val="02010609060101010101"/>
  </w:font>
  <w:font w:name="仿宋_GB2312">
    <w:panose1 w:val="02010609060101010101"/>
  </w:font>
  <w:font w:name="Verdana">
    <w:panose1 w:val="020B0604030504040204"/>
  </w:font>
  <w:font w:name="黑体">
    <w:panose1 w:val="02010609060101010101"/>
  </w:font>
  <w:font w:name="Cambria">
    <w:panose1 w:val="02040503050406030204"/>
  </w:font>
  <w:font w:name="Arial">
    <w:panose1 w:val="020B0604020202020204"/>
  </w:font>
  <w:font w:name="宋体">
    <w:panose1 w:val="02010600030101010101"/>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7"/>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42</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77"/>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42</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240410684"/>
      <w:rPr/>
    </w:sdtPr>
    <w:sdtContent>
      <w:sdt>
        <w:sdtPr>
          <w15:appearance w15:val="boundingBox"/>
          <w:id w:val="490448134"/>
          <w:rPr/>
        </w:sdtPr>
        <w:sdtContent>
          <w:p>
            <w:pPr>
              <w:pStyle w:val="977"/>
              <w:jc w:val="center"/>
            </w:pPr>
            <w: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23</w:t>
            </w:r>
            <w:r>
              <w:rPr>
                <w:b/>
                <w:bCs/>
                <w:sz w:val="24"/>
                <w:szCs w:val="24"/>
              </w:rPr>
              <w:fldChar w:fldCharType="end"/>
            </w:r>
            <w: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39</w:t>
            </w:r>
            <w:r>
              <w:rPr>
                <w:b/>
                <w:bCs/>
                <w:sz w:val="24"/>
                <w:szCs w:val="24"/>
              </w:rPr>
              <w:fldChar w:fldCharType="end"/>
            </w:r>
            <w:r/>
          </w:p>
        </w:sdtContent>
      </w:sdt>
    </w:sdtContent>
  </w:sdt>
  <w:p>
    <w:pPr>
      <w:pStyle w:val="97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7"/>
                          </w:pPr>
                          <w:r>
                            <w:t xml:space="preserve">第 </w:t>
                          </w:r>
                          <w:r>
                            <w:fldChar w:fldCharType="begin"/>
                          </w:r>
                          <w:r>
                            <w:instrText xml:space="preserve"> PAGE  \* MERGEFORMAT </w:instrText>
                          </w:r>
                          <w:r>
                            <w:fldChar w:fldCharType="separate"/>
                          </w:r>
                          <w:r>
                            <w:t xml:space="preserve">30</w:t>
                          </w:r>
                          <w:r>
                            <w:fldChar w:fldCharType="end"/>
                          </w:r>
                          <w:r>
                            <w:t xml:space="preserve"> 页 共 </w:t>
                          </w:r>
                          <w:r>
                            <w:fldChar w:fldCharType="begin"/>
                          </w:r>
                          <w:r>
                            <w:instrText xml:space="preserve"> NUMPAGES  \* MERGEFORMAT </w:instrText>
                          </w:r>
                          <w:r>
                            <w:fldChar w:fldCharType="separate"/>
                          </w:r>
                          <w:r>
                            <w:t xml:space="preserve">42</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77"/>
                    </w:pPr>
                    <w:r>
                      <w:t xml:space="preserve">第 </w:t>
                    </w:r>
                    <w:r>
                      <w:fldChar w:fldCharType="begin"/>
                    </w:r>
                    <w:r>
                      <w:instrText xml:space="preserve"> PAGE  \* MERGEFORMAT </w:instrText>
                    </w:r>
                    <w:r>
                      <w:fldChar w:fldCharType="separate"/>
                    </w:r>
                    <w:r>
                      <w:t xml:space="preserve">30</w:t>
                    </w:r>
                    <w:r>
                      <w:fldChar w:fldCharType="end"/>
                    </w:r>
                    <w:r>
                      <w:t xml:space="preserve"> 页 共 </w:t>
                    </w:r>
                    <w:r>
                      <w:fldChar w:fldCharType="begin"/>
                    </w:r>
                    <w:r>
                      <w:instrText xml:space="preserve"> NUMPAGES  \* MERGEFORMAT </w:instrText>
                    </w:r>
                    <w:r>
                      <w:fldChar w:fldCharType="separate"/>
                    </w:r>
                    <w:r>
                      <w:t xml:space="preserve">42</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7"/>
      <w:rPr>
        <w:rFonts w:hint="eastAsia" w:hAnsi="宋体" w:eastAsia="宋体" w:cs="宋体"/>
        <w:sz w:val="18"/>
        <w:szCs w:val="18"/>
      </w:rPr>
    </w:pPr>
    <w:r>
      <w:rPr>
        <w:rFonts w:hint="eastAsia" w:hAnsi="宋体" w:eastAsia="宋体" w:cs="宋体"/>
        <w:sz w:val="18"/>
        <w:szCs w:val="18"/>
      </w:rPr>
      <w:tab/>
    </w:r>
    <w:r>
      <w:rPr>
        <w:rFonts w:hint="eastAsia" w:hAnsi="宋体" w:eastAsia="宋体" w:cs="宋体"/>
        <w:sz w:val="18"/>
        <w:szCs w:val="18"/>
      </w:rPr>
      <w:t xml:space="preserve">                                                              </w:t>
    </w:r>
    <w:r/>
  </w:p>
  <w:p>
    <w:pPr>
      <w:pStyle w:val="1127"/>
      <w:rPr>
        <w:rFonts w:hint="eastAsia" w:hAnsi="宋体" w:eastAsia="宋体" w:cs="宋体"/>
        <w:sz w:val="18"/>
        <w:szCs w:val="18"/>
      </w:rPr>
    </w:pPr>
    <w:r>
      <w:rPr>
        <w:rFonts w:hint="eastAsia" w:hAnsi="宋体" w:eastAsia="宋体" w:cs="宋体"/>
        <w:sz w:val="18"/>
        <w:szCs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02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rPr>
        <w:rFonts w:hint="eastAsia"/>
        <w:b/>
        <w:bC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113"/>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02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6"/>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3"/>
      <w:numFmt w:val="decimal"/>
      <w:isLgl w:val="false"/>
      <w:suff w:val="tab"/>
      <w:lvlText w:val="%1、"/>
      <w:lvlJc w:val="left"/>
      <w:pPr>
        <w:ind w:left="0" w:firstLine="0"/>
      </w:pPr>
      <w:rPr>
        <w:b/>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6"/>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3"/>
      <w:numFmt w:val="decimal"/>
      <w:isLgl w:val="false"/>
      <w:suff w:val="tab"/>
      <w:lvlText w:val="%1、"/>
      <w:lvlJc w:val="left"/>
      <w:pPr>
        <w:ind w:left="0" w:firstLine="0"/>
      </w:pPr>
      <w:rPr>
        <w:b/>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6"/>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3"/>
      <w:numFmt w:val="decimal"/>
      <w:isLgl w:val="false"/>
      <w:suff w:val="tab"/>
      <w:lvlText w:val="%1、"/>
      <w:lvlJc w:val="left"/>
      <w:pPr>
        <w:ind w:left="0" w:firstLine="0"/>
      </w:pPr>
      <w:rPr>
        <w:b/>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4"/>
  </w:num>
  <w:num w:numId="3">
    <w:abstractNumId w:val="0"/>
  </w:num>
  <w:num w:numId="4">
    <w:abstractNumId w:val="3"/>
  </w:num>
  <w:num w:numId="5">
    <w:abstractNumId w:val="1"/>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94">
    <w:name w:val="Heading 1 Char"/>
    <w:basedOn w:val="961"/>
    <w:link w:val="952"/>
    <w:uiPriority w:val="9"/>
    <w:rPr>
      <w:rFonts w:ascii="Arial" w:hAnsi="Arial" w:eastAsia="Arial" w:cs="Arial"/>
      <w:sz w:val="40"/>
      <w:szCs w:val="40"/>
    </w:rPr>
  </w:style>
  <w:style w:type="character" w:styleId="795">
    <w:name w:val="Heading 2 Char"/>
    <w:basedOn w:val="961"/>
    <w:link w:val="1139"/>
    <w:uiPriority w:val="9"/>
    <w:rPr>
      <w:rFonts w:ascii="Arial" w:hAnsi="Arial" w:eastAsia="Arial" w:cs="Arial"/>
      <w:sz w:val="34"/>
    </w:rPr>
  </w:style>
  <w:style w:type="character" w:styleId="796">
    <w:name w:val="Heading 3 Char"/>
    <w:basedOn w:val="961"/>
    <w:link w:val="954"/>
    <w:uiPriority w:val="9"/>
    <w:rPr>
      <w:rFonts w:ascii="Arial" w:hAnsi="Arial" w:eastAsia="Arial" w:cs="Arial"/>
      <w:sz w:val="30"/>
      <w:szCs w:val="30"/>
    </w:rPr>
  </w:style>
  <w:style w:type="character" w:styleId="797">
    <w:name w:val="Heading 4 Char"/>
    <w:basedOn w:val="961"/>
    <w:link w:val="955"/>
    <w:uiPriority w:val="9"/>
    <w:rPr>
      <w:rFonts w:ascii="Arial" w:hAnsi="Arial" w:eastAsia="Arial" w:cs="Arial"/>
      <w:b/>
      <w:bCs/>
      <w:sz w:val="26"/>
      <w:szCs w:val="26"/>
    </w:rPr>
  </w:style>
  <w:style w:type="character" w:styleId="798">
    <w:name w:val="Heading 5 Char"/>
    <w:basedOn w:val="961"/>
    <w:link w:val="956"/>
    <w:uiPriority w:val="9"/>
    <w:rPr>
      <w:rFonts w:ascii="Arial" w:hAnsi="Arial" w:eastAsia="Arial" w:cs="Arial"/>
      <w:b/>
      <w:bCs/>
      <w:sz w:val="24"/>
      <w:szCs w:val="24"/>
    </w:rPr>
  </w:style>
  <w:style w:type="character" w:styleId="799">
    <w:name w:val="Heading 6 Char"/>
    <w:basedOn w:val="961"/>
    <w:link w:val="957"/>
    <w:uiPriority w:val="9"/>
    <w:rPr>
      <w:rFonts w:ascii="Arial" w:hAnsi="Arial" w:eastAsia="Arial" w:cs="Arial"/>
      <w:b/>
      <w:bCs/>
      <w:sz w:val="22"/>
      <w:szCs w:val="22"/>
    </w:rPr>
  </w:style>
  <w:style w:type="character" w:styleId="800">
    <w:name w:val="Heading 7 Char"/>
    <w:basedOn w:val="961"/>
    <w:link w:val="958"/>
    <w:uiPriority w:val="9"/>
    <w:rPr>
      <w:rFonts w:ascii="Arial" w:hAnsi="Arial" w:eastAsia="Arial" w:cs="Arial"/>
      <w:b/>
      <w:bCs/>
      <w:i/>
      <w:iCs/>
      <w:sz w:val="22"/>
      <w:szCs w:val="22"/>
    </w:rPr>
  </w:style>
  <w:style w:type="character" w:styleId="801">
    <w:name w:val="Heading 8 Char"/>
    <w:basedOn w:val="961"/>
    <w:link w:val="959"/>
    <w:uiPriority w:val="9"/>
    <w:rPr>
      <w:rFonts w:ascii="Arial" w:hAnsi="Arial" w:eastAsia="Arial" w:cs="Arial"/>
      <w:i/>
      <w:iCs/>
      <w:sz w:val="22"/>
      <w:szCs w:val="22"/>
    </w:rPr>
  </w:style>
  <w:style w:type="character" w:styleId="802">
    <w:name w:val="Heading 9 Char"/>
    <w:basedOn w:val="961"/>
    <w:link w:val="960"/>
    <w:uiPriority w:val="9"/>
    <w:rPr>
      <w:rFonts w:ascii="Arial" w:hAnsi="Arial" w:eastAsia="Arial" w:cs="Arial"/>
      <w:i/>
      <w:iCs/>
      <w:sz w:val="21"/>
      <w:szCs w:val="21"/>
    </w:rPr>
  </w:style>
  <w:style w:type="paragraph" w:styleId="803">
    <w:name w:val="No Spacing"/>
    <w:uiPriority w:val="1"/>
    <w:qFormat/>
    <w:pPr>
      <w:spacing w:before="0" w:after="0" w:line="240" w:lineRule="auto"/>
    </w:pPr>
  </w:style>
  <w:style w:type="character" w:styleId="804">
    <w:name w:val="Title Char"/>
    <w:basedOn w:val="961"/>
    <w:link w:val="987"/>
    <w:uiPriority w:val="10"/>
    <w:rPr>
      <w:sz w:val="48"/>
      <w:szCs w:val="48"/>
    </w:rPr>
  </w:style>
  <w:style w:type="paragraph" w:styleId="805">
    <w:name w:val="Subtitle"/>
    <w:basedOn w:val="951"/>
    <w:next w:val="951"/>
    <w:link w:val="806"/>
    <w:uiPriority w:val="11"/>
    <w:qFormat/>
    <w:pPr>
      <w:spacing w:before="200" w:after="200"/>
    </w:pPr>
    <w:rPr>
      <w:sz w:val="24"/>
      <w:szCs w:val="24"/>
    </w:rPr>
  </w:style>
  <w:style w:type="character" w:styleId="806">
    <w:name w:val="Subtitle Char"/>
    <w:basedOn w:val="961"/>
    <w:link w:val="805"/>
    <w:uiPriority w:val="11"/>
    <w:rPr>
      <w:sz w:val="24"/>
      <w:szCs w:val="24"/>
    </w:rPr>
  </w:style>
  <w:style w:type="paragraph" w:styleId="807">
    <w:name w:val="Quote"/>
    <w:basedOn w:val="951"/>
    <w:next w:val="951"/>
    <w:link w:val="808"/>
    <w:uiPriority w:val="29"/>
    <w:qFormat/>
    <w:pPr>
      <w:ind w:left="720" w:right="720"/>
    </w:pPr>
    <w:rPr>
      <w:i/>
    </w:rPr>
  </w:style>
  <w:style w:type="character" w:styleId="808">
    <w:name w:val="Quote Char"/>
    <w:link w:val="807"/>
    <w:uiPriority w:val="29"/>
    <w:rPr>
      <w:i/>
    </w:rPr>
  </w:style>
  <w:style w:type="paragraph" w:styleId="809">
    <w:name w:val="Intense Quote"/>
    <w:basedOn w:val="951"/>
    <w:next w:val="951"/>
    <w:link w:val="81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0">
    <w:name w:val="Intense Quote Char"/>
    <w:link w:val="809"/>
    <w:uiPriority w:val="30"/>
    <w:rPr>
      <w:i/>
    </w:rPr>
  </w:style>
  <w:style w:type="character" w:styleId="811">
    <w:name w:val="Header Char"/>
    <w:basedOn w:val="961"/>
    <w:link w:val="979"/>
    <w:uiPriority w:val="99"/>
  </w:style>
  <w:style w:type="character" w:styleId="812">
    <w:name w:val="Footer Char"/>
    <w:basedOn w:val="961"/>
    <w:link w:val="977"/>
    <w:uiPriority w:val="99"/>
  </w:style>
  <w:style w:type="paragraph" w:styleId="813">
    <w:name w:val="Caption"/>
    <w:basedOn w:val="951"/>
    <w:next w:val="951"/>
    <w:uiPriority w:val="35"/>
    <w:semiHidden/>
    <w:unhideWhenUsed/>
    <w:qFormat/>
    <w:pPr>
      <w:spacing w:line="276" w:lineRule="auto"/>
    </w:pPr>
    <w:rPr>
      <w:b/>
      <w:bCs/>
      <w:color w:val="4f81bd" w:themeColor="accent1"/>
      <w:sz w:val="18"/>
      <w:szCs w:val="18"/>
    </w:rPr>
  </w:style>
  <w:style w:type="character" w:styleId="814">
    <w:name w:val="Caption Char"/>
    <w:basedOn w:val="813"/>
    <w:link w:val="977"/>
    <w:uiPriority w:val="99"/>
  </w:style>
  <w:style w:type="table" w:styleId="815">
    <w:name w:val="Table Grid Light"/>
    <w:basedOn w:val="96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16">
    <w:name w:val="Plain Table 1"/>
    <w:basedOn w:val="96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7">
    <w:name w:val="Plain Table 2"/>
    <w:basedOn w:val="96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8">
    <w:name w:val="Plain Table 3"/>
    <w:basedOn w:val="9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9">
    <w:name w:val="Plain Table 4"/>
    <w:basedOn w:val="9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0">
    <w:name w:val="Plain Table 5"/>
    <w:basedOn w:val="9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1">
    <w:name w:val="Grid Table 1 Light"/>
    <w:basedOn w:val="96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2">
    <w:name w:val="Grid Table 1 Light - Accent 1"/>
    <w:basedOn w:val="96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3">
    <w:name w:val="Grid Table 1 Light - Accent 2"/>
    <w:basedOn w:val="96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24">
    <w:name w:val="Grid Table 1 Light - Accent 3"/>
    <w:basedOn w:val="96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25">
    <w:name w:val="Grid Table 1 Light - Accent 4"/>
    <w:basedOn w:val="96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26">
    <w:name w:val="Grid Table 1 Light - Accent 5"/>
    <w:basedOn w:val="96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27">
    <w:name w:val="Grid Table 1 Light - Accent 6"/>
    <w:basedOn w:val="96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28">
    <w:name w:val="Grid Table 2"/>
    <w:basedOn w:val="96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9">
    <w:name w:val="Grid Table 2 - Accent 1"/>
    <w:basedOn w:val="96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30">
    <w:name w:val="Grid Table 2 - Accent 2"/>
    <w:basedOn w:val="96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1">
    <w:name w:val="Grid Table 2 - Accent 3"/>
    <w:basedOn w:val="96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32">
    <w:name w:val="Grid Table 2 - Accent 4"/>
    <w:basedOn w:val="96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3">
    <w:name w:val="Grid Table 2 - Accent 5"/>
    <w:basedOn w:val="96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34">
    <w:name w:val="Grid Table 2 - Accent 6"/>
    <w:basedOn w:val="96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35">
    <w:name w:val="Grid Table 3"/>
    <w:basedOn w:val="96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6">
    <w:name w:val="Grid Table 3 - Accent 1"/>
    <w:basedOn w:val="96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7">
    <w:name w:val="Grid Table 3 - Accent 2"/>
    <w:basedOn w:val="96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8">
    <w:name w:val="Grid Table 3 - Accent 3"/>
    <w:basedOn w:val="96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9">
    <w:name w:val="Grid Table 3 - Accent 4"/>
    <w:basedOn w:val="96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0">
    <w:name w:val="Grid Table 3 - Accent 5"/>
    <w:basedOn w:val="96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1">
    <w:name w:val="Grid Table 3 - Accent 6"/>
    <w:basedOn w:val="96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2">
    <w:name w:val="Grid Table 4"/>
    <w:basedOn w:val="96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3">
    <w:name w:val="Grid Table 4 - Accent 1"/>
    <w:basedOn w:val="96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44">
    <w:name w:val="Grid Table 4 - Accent 2"/>
    <w:basedOn w:val="96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45">
    <w:name w:val="Grid Table 4 - Accent 3"/>
    <w:basedOn w:val="96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46">
    <w:name w:val="Grid Table 4 - Accent 4"/>
    <w:basedOn w:val="96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47">
    <w:name w:val="Grid Table 4 - Accent 5"/>
    <w:basedOn w:val="96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48">
    <w:name w:val="Grid Table 4 - Accent 6"/>
    <w:basedOn w:val="96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9">
    <w:name w:val="Grid Table 5 Dark"/>
    <w:basedOn w:val="9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0">
    <w:name w:val="Grid Table 5 Dark- Accent 1"/>
    <w:basedOn w:val="9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51">
    <w:name w:val="Grid Table 5 Dark - Accent 2"/>
    <w:basedOn w:val="9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2">
    <w:name w:val="Grid Table 5 Dark - Accent 3"/>
    <w:basedOn w:val="9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53">
    <w:name w:val="Grid Table 5 Dark- Accent 4"/>
    <w:basedOn w:val="9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54">
    <w:name w:val="Grid Table 5 Dark - Accent 5"/>
    <w:basedOn w:val="9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55">
    <w:name w:val="Grid Table 5 Dark - Accent 6"/>
    <w:basedOn w:val="9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56">
    <w:name w:val="Grid Table 6 Colorful"/>
    <w:basedOn w:val="96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7">
    <w:name w:val="Grid Table 6 Colorful - Accent 1"/>
    <w:basedOn w:val="96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858">
    <w:name w:val="Grid Table 6 Colorful - Accent 2"/>
    <w:basedOn w:val="96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59">
    <w:name w:val="Grid Table 6 Colorful - Accent 3"/>
    <w:basedOn w:val="96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60">
    <w:name w:val="Grid Table 6 Colorful - Accent 4"/>
    <w:basedOn w:val="96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61">
    <w:name w:val="Grid Table 6 Colorful - Accent 5"/>
    <w:basedOn w:val="96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62">
    <w:name w:val="Grid Table 6 Colorful - Accent 6"/>
    <w:basedOn w:val="96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63">
    <w:name w:val="Grid Table 7 Colorful"/>
    <w:basedOn w:val="96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4">
    <w:name w:val="Grid Table 7 Colorful - Accent 1"/>
    <w:basedOn w:val="96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65">
    <w:name w:val="Grid Table 7 Colorful - Accent 2"/>
    <w:basedOn w:val="96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66">
    <w:name w:val="Grid Table 7 Colorful - Accent 3"/>
    <w:basedOn w:val="96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67">
    <w:name w:val="Grid Table 7 Colorful - Accent 4"/>
    <w:basedOn w:val="96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68">
    <w:name w:val="Grid Table 7 Colorful - Accent 5"/>
    <w:basedOn w:val="96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9">
    <w:name w:val="Grid Table 7 Colorful - Accent 6"/>
    <w:basedOn w:val="96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70">
    <w:name w:val="List Table 1 Light"/>
    <w:basedOn w:val="96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1">
    <w:name w:val="List Table 1 Light - Accent 1"/>
    <w:basedOn w:val="962"/>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72">
    <w:name w:val="List Table 1 Light - Accent 2"/>
    <w:basedOn w:val="962"/>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3">
    <w:name w:val="List Table 1 Light - Accent 3"/>
    <w:basedOn w:val="962"/>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74">
    <w:name w:val="List Table 1 Light - Accent 4"/>
    <w:basedOn w:val="962"/>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75">
    <w:name w:val="List Table 1 Light - Accent 5"/>
    <w:basedOn w:val="962"/>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76">
    <w:name w:val="List Table 1 Light - Accent 6"/>
    <w:basedOn w:val="962"/>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77">
    <w:name w:val="List Table 2"/>
    <w:basedOn w:val="96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8">
    <w:name w:val="List Table 2 - Accent 1"/>
    <w:basedOn w:val="96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9">
    <w:name w:val="List Table 2 - Accent 2"/>
    <w:basedOn w:val="96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80">
    <w:name w:val="List Table 2 - Accent 3"/>
    <w:basedOn w:val="96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1">
    <w:name w:val="List Table 2 - Accent 4"/>
    <w:basedOn w:val="96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82">
    <w:name w:val="List Table 2 - Accent 5"/>
    <w:basedOn w:val="96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3">
    <w:name w:val="List Table 2 - Accent 6"/>
    <w:basedOn w:val="96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84">
    <w:name w:val="List Table 3"/>
    <w:basedOn w:val="96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5">
    <w:name w:val="List Table 3 - Accent 1"/>
    <w:basedOn w:val="96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86">
    <w:name w:val="List Table 3 - Accent 2"/>
    <w:basedOn w:val="96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87">
    <w:name w:val="List Table 3 - Accent 3"/>
    <w:basedOn w:val="96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88">
    <w:name w:val="List Table 3 - Accent 4"/>
    <w:basedOn w:val="96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89">
    <w:name w:val="List Table 3 - Accent 5"/>
    <w:basedOn w:val="96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90">
    <w:name w:val="List Table 3 - Accent 6"/>
    <w:basedOn w:val="96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91">
    <w:name w:val="List Table 4"/>
    <w:basedOn w:val="96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2">
    <w:name w:val="List Table 4 - Accent 1"/>
    <w:basedOn w:val="96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93">
    <w:name w:val="List Table 4 - Accent 2"/>
    <w:basedOn w:val="96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94">
    <w:name w:val="List Table 4 - Accent 3"/>
    <w:basedOn w:val="96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95">
    <w:name w:val="List Table 4 - Accent 4"/>
    <w:basedOn w:val="96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96">
    <w:name w:val="List Table 4 - Accent 5"/>
    <w:basedOn w:val="96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97">
    <w:name w:val="List Table 4 - Accent 6"/>
    <w:basedOn w:val="96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98">
    <w:name w:val="List Table 5 Dark"/>
    <w:basedOn w:val="96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9">
    <w:name w:val="List Table 5 Dark - Accent 1"/>
    <w:basedOn w:val="96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0">
    <w:name w:val="List Table 5 Dark - Accent 2"/>
    <w:basedOn w:val="96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1">
    <w:name w:val="List Table 5 Dark - Accent 3"/>
    <w:basedOn w:val="96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2">
    <w:name w:val="List Table 5 Dark - Accent 4"/>
    <w:basedOn w:val="96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3">
    <w:name w:val="List Table 5 Dark - Accent 5"/>
    <w:basedOn w:val="96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4">
    <w:name w:val="List Table 5 Dark - Accent 6"/>
    <w:basedOn w:val="96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5">
    <w:name w:val="List Table 6 Colorful"/>
    <w:basedOn w:val="96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6">
    <w:name w:val="List Table 6 Colorful - Accent 1"/>
    <w:basedOn w:val="96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907">
    <w:name w:val="List Table 6 Colorful - Accent 2"/>
    <w:basedOn w:val="96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908">
    <w:name w:val="List Table 6 Colorful - Accent 3"/>
    <w:basedOn w:val="96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909">
    <w:name w:val="List Table 6 Colorful - Accent 4"/>
    <w:basedOn w:val="96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910">
    <w:name w:val="List Table 6 Colorful - Accent 5"/>
    <w:basedOn w:val="96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911">
    <w:name w:val="List Table 6 Colorful - Accent 6"/>
    <w:basedOn w:val="96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912">
    <w:name w:val="List Table 7 Colorful"/>
    <w:basedOn w:val="96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3">
    <w:name w:val="List Table 7 Colorful - Accent 1"/>
    <w:basedOn w:val="96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914">
    <w:name w:val="List Table 7 Colorful - Accent 2"/>
    <w:basedOn w:val="96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915">
    <w:name w:val="List Table 7 Colorful - Accent 3"/>
    <w:basedOn w:val="96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916">
    <w:name w:val="List Table 7 Colorful - Accent 4"/>
    <w:basedOn w:val="96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917">
    <w:name w:val="List Table 7 Colorful - Accent 5"/>
    <w:basedOn w:val="96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918">
    <w:name w:val="List Table 7 Colorful - Accent 6"/>
    <w:basedOn w:val="96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919">
    <w:name w:val="Lined - Accent"/>
    <w:basedOn w:val="9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0">
    <w:name w:val="Lined - Accent 1"/>
    <w:basedOn w:val="9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21">
    <w:name w:val="Lined - Accent 2"/>
    <w:basedOn w:val="9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22">
    <w:name w:val="Lined - Accent 3"/>
    <w:basedOn w:val="9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23">
    <w:name w:val="Lined - Accent 4"/>
    <w:basedOn w:val="9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24">
    <w:name w:val="Lined - Accent 5"/>
    <w:basedOn w:val="9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25">
    <w:name w:val="Lined - Accent 6"/>
    <w:basedOn w:val="9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26">
    <w:name w:val="Bordered &amp; Lined - Accent"/>
    <w:basedOn w:val="96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7">
    <w:name w:val="Bordered &amp; Lined - Accent 1"/>
    <w:basedOn w:val="96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28">
    <w:name w:val="Bordered &amp; Lined - Accent 2"/>
    <w:basedOn w:val="96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29">
    <w:name w:val="Bordered &amp; Lined - Accent 3"/>
    <w:basedOn w:val="96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30">
    <w:name w:val="Bordered &amp; Lined - Accent 4"/>
    <w:basedOn w:val="96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31">
    <w:name w:val="Bordered &amp; Lined - Accent 5"/>
    <w:basedOn w:val="96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32">
    <w:name w:val="Bordered &amp; Lined - Accent 6"/>
    <w:basedOn w:val="96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33">
    <w:name w:val="Bordered"/>
    <w:basedOn w:val="96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34">
    <w:name w:val="Bordered - Accent 1"/>
    <w:basedOn w:val="96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35">
    <w:name w:val="Bordered - Accent 2"/>
    <w:basedOn w:val="96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36">
    <w:name w:val="Bordered - Accent 3"/>
    <w:basedOn w:val="96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37">
    <w:name w:val="Bordered - Accent 4"/>
    <w:basedOn w:val="96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38">
    <w:name w:val="Bordered - Accent 5"/>
    <w:basedOn w:val="96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9">
    <w:name w:val="Bordered - Accent 6"/>
    <w:basedOn w:val="96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40">
    <w:name w:val="Footnote Text Char"/>
    <w:link w:val="981"/>
    <w:uiPriority w:val="99"/>
    <w:rPr>
      <w:sz w:val="18"/>
    </w:rPr>
  </w:style>
  <w:style w:type="paragraph" w:styleId="941">
    <w:name w:val="endnote text"/>
    <w:basedOn w:val="951"/>
    <w:link w:val="942"/>
    <w:uiPriority w:val="99"/>
    <w:semiHidden/>
    <w:unhideWhenUsed/>
    <w:pPr>
      <w:spacing w:after="0" w:line="240" w:lineRule="auto"/>
    </w:pPr>
    <w:rPr>
      <w:sz w:val="20"/>
    </w:rPr>
  </w:style>
  <w:style w:type="character" w:styleId="942">
    <w:name w:val="Endnote Text Char"/>
    <w:link w:val="941"/>
    <w:uiPriority w:val="99"/>
    <w:rPr>
      <w:sz w:val="20"/>
    </w:rPr>
  </w:style>
  <w:style w:type="character" w:styleId="943">
    <w:name w:val="endnote reference"/>
    <w:basedOn w:val="961"/>
    <w:uiPriority w:val="99"/>
    <w:semiHidden/>
    <w:unhideWhenUsed/>
    <w:rPr>
      <w:vertAlign w:val="superscript"/>
    </w:rPr>
  </w:style>
  <w:style w:type="paragraph" w:styleId="944">
    <w:name w:val="toc 4"/>
    <w:basedOn w:val="951"/>
    <w:next w:val="951"/>
    <w:uiPriority w:val="39"/>
    <w:unhideWhenUsed/>
    <w:pPr>
      <w:ind w:left="850" w:right="0" w:firstLine="0"/>
      <w:spacing w:after="57"/>
    </w:pPr>
  </w:style>
  <w:style w:type="paragraph" w:styleId="945">
    <w:name w:val="toc 5"/>
    <w:basedOn w:val="951"/>
    <w:next w:val="951"/>
    <w:uiPriority w:val="39"/>
    <w:unhideWhenUsed/>
    <w:pPr>
      <w:ind w:left="1134" w:right="0" w:firstLine="0"/>
      <w:spacing w:after="57"/>
    </w:pPr>
  </w:style>
  <w:style w:type="paragraph" w:styleId="946">
    <w:name w:val="toc 6"/>
    <w:basedOn w:val="951"/>
    <w:next w:val="951"/>
    <w:uiPriority w:val="39"/>
    <w:unhideWhenUsed/>
    <w:pPr>
      <w:ind w:left="1417" w:right="0" w:firstLine="0"/>
      <w:spacing w:after="57"/>
    </w:pPr>
  </w:style>
  <w:style w:type="paragraph" w:styleId="947">
    <w:name w:val="toc 8"/>
    <w:basedOn w:val="951"/>
    <w:next w:val="951"/>
    <w:uiPriority w:val="39"/>
    <w:unhideWhenUsed/>
    <w:pPr>
      <w:ind w:left="1984" w:right="0" w:firstLine="0"/>
      <w:spacing w:after="57"/>
    </w:pPr>
  </w:style>
  <w:style w:type="paragraph" w:styleId="948">
    <w:name w:val="toc 9"/>
    <w:basedOn w:val="951"/>
    <w:next w:val="951"/>
    <w:uiPriority w:val="39"/>
    <w:unhideWhenUsed/>
    <w:pPr>
      <w:ind w:left="2268" w:right="0" w:firstLine="0"/>
      <w:spacing w:after="57"/>
    </w:pPr>
  </w:style>
  <w:style w:type="paragraph" w:styleId="949">
    <w:name w:val="TOC Heading"/>
    <w:uiPriority w:val="39"/>
    <w:unhideWhenUsed/>
  </w:style>
  <w:style w:type="paragraph" w:styleId="950">
    <w:name w:val="table of figures"/>
    <w:basedOn w:val="951"/>
    <w:next w:val="951"/>
    <w:uiPriority w:val="99"/>
    <w:unhideWhenUsed/>
    <w:pPr>
      <w:spacing w:after="0" w:afterAutospacing="0"/>
    </w:pPr>
  </w:style>
  <w:style w:type="paragraph" w:styleId="951" w:default="1">
    <w:name w:val="Normal"/>
    <w:link w:val="1141"/>
    <w:uiPriority w:val="0"/>
    <w:qFormat/>
    <w:pPr>
      <w:jc w:val="both"/>
      <w:widowControl w:val="off"/>
    </w:pPr>
    <w:rPr>
      <w:rFonts w:ascii="Times New Roman" w:hAnsi="Times New Roman" w:eastAsia="宋体" w:cs="Times New Roman"/>
      <w:sz w:val="21"/>
      <w:lang w:val="en-US" w:eastAsia="zh-CN" w:bidi="ar-SA"/>
    </w:rPr>
  </w:style>
  <w:style w:type="paragraph" w:styleId="952">
    <w:name w:val="Heading 1"/>
    <w:basedOn w:val="951"/>
    <w:next w:val="951"/>
    <w:link w:val="1050"/>
    <w:uiPriority w:val="0"/>
    <w:qFormat/>
    <w:pPr>
      <w:keepLines/>
      <w:keepNext/>
      <w:spacing w:before="200" w:after="200"/>
      <w:outlineLvl w:val="0"/>
    </w:pPr>
    <w:rPr>
      <w:b/>
      <w:bCs/>
      <w:sz w:val="44"/>
      <w:szCs w:val="44"/>
      <w:lang w:val="zh-CN"/>
    </w:rPr>
  </w:style>
  <w:style w:type="paragraph" w:styleId="953">
    <w:name w:val="Heading 2"/>
    <w:basedOn w:val="951"/>
    <w:next w:val="951"/>
    <w:link w:val="1047"/>
    <w:uiPriority w:val="0"/>
    <w:qFormat/>
    <w:pPr>
      <w:keepLines/>
      <w:keepNext/>
      <w:spacing w:before="260" w:after="260" w:line="416" w:lineRule="auto"/>
      <w:outlineLvl w:val="1"/>
    </w:pPr>
    <w:rPr>
      <w:rFonts w:ascii="Cambria" w:hAnsi="Cambria"/>
      <w:b/>
      <w:bCs/>
      <w:sz w:val="32"/>
      <w:szCs w:val="32"/>
      <w:lang w:val="zh-CN"/>
    </w:rPr>
  </w:style>
  <w:style w:type="paragraph" w:styleId="954">
    <w:name w:val="Heading 3"/>
    <w:basedOn w:val="951"/>
    <w:next w:val="951"/>
    <w:link w:val="1072"/>
    <w:uiPriority w:val="0"/>
    <w:qFormat/>
    <w:pPr>
      <w:keepLines/>
      <w:keepNext/>
      <w:spacing w:before="260" w:after="260" w:line="416" w:lineRule="auto"/>
      <w:outlineLvl w:val="2"/>
    </w:pPr>
    <w:rPr>
      <w:b/>
      <w:szCs w:val="32"/>
      <w:lang w:val="zh-CN"/>
    </w:rPr>
  </w:style>
  <w:style w:type="paragraph" w:styleId="955">
    <w:name w:val="Heading 4"/>
    <w:basedOn w:val="951"/>
    <w:next w:val="951"/>
    <w:link w:val="1025"/>
    <w:uiPriority w:val="0"/>
    <w:qFormat/>
    <w:pPr>
      <w:keepNext/>
      <w:spacing w:before="240" w:after="60"/>
      <w:outlineLvl w:val="3"/>
    </w:pPr>
    <w:rPr>
      <w:b/>
      <w:bCs/>
      <w:sz w:val="28"/>
      <w:szCs w:val="28"/>
      <w:lang w:val="zh-CN"/>
    </w:rPr>
  </w:style>
  <w:style w:type="paragraph" w:styleId="956">
    <w:name w:val="Heading 5"/>
    <w:basedOn w:val="951"/>
    <w:next w:val="951"/>
    <w:link w:val="1046"/>
    <w:uiPriority w:val="0"/>
    <w:qFormat/>
    <w:pPr>
      <w:spacing w:before="240" w:after="60"/>
      <w:outlineLvl w:val="4"/>
    </w:pPr>
    <w:rPr>
      <w:b/>
      <w:bCs/>
      <w:i/>
      <w:iCs/>
      <w:sz w:val="26"/>
      <w:szCs w:val="26"/>
      <w:lang w:val="zh-CN"/>
    </w:rPr>
  </w:style>
  <w:style w:type="paragraph" w:styleId="957">
    <w:name w:val="Heading 6"/>
    <w:basedOn w:val="951"/>
    <w:next w:val="951"/>
    <w:link w:val="1073"/>
    <w:uiPriority w:val="0"/>
    <w:qFormat/>
    <w:pPr>
      <w:keepLines/>
      <w:keepNext/>
      <w:spacing w:line="317" w:lineRule="auto"/>
      <w:outlineLvl w:val="5"/>
    </w:pPr>
    <w:rPr>
      <w:rFonts w:ascii="Arial" w:hAnsi="Arial" w:eastAsia="黑体"/>
      <w:b/>
      <w:sz w:val="24"/>
      <w:szCs w:val="24"/>
      <w:lang w:val="zh-CN"/>
    </w:rPr>
  </w:style>
  <w:style w:type="paragraph" w:styleId="958">
    <w:name w:val="Heading 7"/>
    <w:basedOn w:val="951"/>
    <w:next w:val="951"/>
    <w:link w:val="1093"/>
    <w:uiPriority w:val="0"/>
    <w:qFormat/>
    <w:pPr>
      <w:keepLines/>
      <w:keepNext/>
      <w:spacing w:line="317" w:lineRule="auto"/>
      <w:outlineLvl w:val="6"/>
    </w:pPr>
    <w:rPr>
      <w:b/>
      <w:sz w:val="24"/>
      <w:szCs w:val="24"/>
      <w:lang w:val="zh-CN"/>
    </w:rPr>
  </w:style>
  <w:style w:type="paragraph" w:styleId="959">
    <w:name w:val="Heading 8"/>
    <w:basedOn w:val="951"/>
    <w:next w:val="951"/>
    <w:link w:val="1039"/>
    <w:uiPriority w:val="0"/>
    <w:qFormat/>
    <w:pPr>
      <w:keepLines/>
      <w:keepNext/>
      <w:spacing w:line="317" w:lineRule="auto"/>
      <w:outlineLvl w:val="7"/>
    </w:pPr>
    <w:rPr>
      <w:rFonts w:ascii="Arial" w:hAnsi="Arial" w:eastAsia="黑体"/>
      <w:sz w:val="24"/>
      <w:szCs w:val="24"/>
      <w:lang w:val="zh-CN"/>
    </w:rPr>
  </w:style>
  <w:style w:type="paragraph" w:styleId="960">
    <w:name w:val="Heading 9"/>
    <w:basedOn w:val="951"/>
    <w:next w:val="951"/>
    <w:link w:val="1083"/>
    <w:uiPriority w:val="0"/>
    <w:qFormat/>
    <w:pPr>
      <w:keepLines/>
      <w:keepNext/>
      <w:spacing w:line="317" w:lineRule="auto"/>
      <w:outlineLvl w:val="8"/>
    </w:pPr>
    <w:rPr>
      <w:rFonts w:ascii="Arial" w:hAnsi="Arial" w:eastAsia="黑体"/>
      <w:szCs w:val="24"/>
      <w:lang w:val="zh-CN"/>
    </w:rPr>
  </w:style>
  <w:style w:type="character" w:styleId="961" w:default="1">
    <w:name w:val="Default Paragraph Font"/>
    <w:uiPriority w:val="1"/>
    <w:semiHidden/>
    <w:unhideWhenUsed/>
    <w:qFormat/>
  </w:style>
  <w:style w:type="table" w:styleId="962" w:default="1">
    <w:name w:val="Normal Table"/>
    <w:uiPriority w:val="99"/>
    <w:semiHidden/>
    <w:unhideWhenUsed/>
    <w:qFormat/>
    <w:tblPr>
      <w:tblCellMar>
        <w:left w:w="108" w:type="dxa"/>
        <w:top w:w="0" w:type="dxa"/>
        <w:right w:w="108" w:type="dxa"/>
        <w:bottom w:w="0" w:type="dxa"/>
      </w:tblCellMar>
    </w:tblPr>
  </w:style>
  <w:style w:type="paragraph" w:styleId="963">
    <w:name w:val="toc 7"/>
    <w:basedOn w:val="952"/>
    <w:next w:val="951"/>
    <w:uiPriority w:val="0"/>
    <w:qFormat/>
    <w:pPr>
      <w:ind w:left="1640" w:firstLine="3784"/>
      <w:spacing w:before="0" w:after="0" w:line="360" w:lineRule="auto"/>
    </w:pPr>
    <w:rPr>
      <w:rFonts w:ascii="Times New Roman" w:hAnsi="Times New Roman" w:cs="Times New Roman"/>
    </w:rPr>
  </w:style>
  <w:style w:type="paragraph" w:styleId="964">
    <w:name w:val="Normal Indent"/>
    <w:basedOn w:val="951"/>
    <w:next w:val="951"/>
    <w:link w:val="1091"/>
    <w:uiPriority w:val="0"/>
    <w:qFormat/>
    <w:pPr>
      <w:ind w:firstLine="420"/>
      <w:jc w:val="left"/>
    </w:pPr>
    <w:rPr>
      <w:rFonts w:eastAsia="楷体_GB2312"/>
      <w:sz w:val="24"/>
      <w:lang w:val="zh-CN"/>
    </w:rPr>
  </w:style>
  <w:style w:type="paragraph" w:styleId="965">
    <w:name w:val="Document Map"/>
    <w:basedOn w:val="951"/>
    <w:link w:val="1024"/>
    <w:uiPriority w:val="99"/>
    <w:unhideWhenUsed/>
    <w:qFormat/>
    <w:rPr>
      <w:rFonts w:ascii="宋体"/>
      <w:sz w:val="18"/>
      <w:szCs w:val="18"/>
      <w:lang w:val="zh-CN"/>
    </w:rPr>
  </w:style>
  <w:style w:type="paragraph" w:styleId="966">
    <w:name w:val="annotation text"/>
    <w:basedOn w:val="951"/>
    <w:link w:val="1042"/>
    <w:uiPriority w:val="99"/>
    <w:qFormat/>
    <w:pPr>
      <w:jc w:val="left"/>
    </w:pPr>
    <w:rPr>
      <w:sz w:val="20"/>
      <w:lang w:val="zh-CN"/>
    </w:rPr>
  </w:style>
  <w:style w:type="paragraph" w:styleId="967">
    <w:name w:val="Body Text 3"/>
    <w:basedOn w:val="951"/>
    <w:link w:val="1090"/>
    <w:uiPriority w:val="0"/>
    <w:qFormat/>
    <w:rPr>
      <w:sz w:val="16"/>
      <w:szCs w:val="24"/>
      <w:lang w:val="zh-CN"/>
    </w:rPr>
  </w:style>
  <w:style w:type="paragraph" w:styleId="968">
    <w:name w:val="Body Text"/>
    <w:basedOn w:val="951"/>
    <w:link w:val="1060"/>
    <w:uiPriority w:val="0"/>
    <w:qFormat/>
    <w:pPr>
      <w:spacing w:after="120"/>
    </w:pPr>
    <w:rPr>
      <w:rFonts w:ascii="Calibri" w:hAnsi="Calibri"/>
      <w:szCs w:val="22"/>
    </w:rPr>
  </w:style>
  <w:style w:type="paragraph" w:styleId="969">
    <w:name w:val="Body Text Indent"/>
    <w:basedOn w:val="951"/>
    <w:link w:val="1030"/>
    <w:uiPriority w:val="0"/>
    <w:qFormat/>
    <w:pPr>
      <w:ind w:firstLine="420"/>
      <w:spacing w:line="360" w:lineRule="auto"/>
    </w:pPr>
    <w:rPr>
      <w:rFonts w:ascii="宋体" w:hAnsi="宋体"/>
      <w:szCs w:val="24"/>
      <w:lang w:val="zh-CN"/>
    </w:rPr>
  </w:style>
  <w:style w:type="paragraph" w:styleId="970">
    <w:name w:val="List 2"/>
    <w:basedOn w:val="952"/>
    <w:next w:val="963"/>
    <w:uiPriority w:val="0"/>
    <w:qFormat/>
    <w:pPr>
      <w:ind w:left="100" w:firstLine="3640"/>
      <w:spacing w:before="0" w:after="0" w:line="240" w:lineRule="auto"/>
    </w:pPr>
    <w:rPr>
      <w:rFonts w:ascii="Times New Roman" w:hAnsi="Times New Roman" w:cs="Times New Roman"/>
    </w:rPr>
  </w:style>
  <w:style w:type="paragraph" w:styleId="971">
    <w:name w:val="Block Text"/>
    <w:basedOn w:val="951"/>
    <w:uiPriority w:val="0"/>
    <w:qFormat/>
    <w:pPr>
      <w:ind w:left="630" w:right="-609" w:firstLine="420"/>
      <w:spacing w:line="360" w:lineRule="auto"/>
    </w:pPr>
    <w:rPr>
      <w:rFonts w:hint="eastAsia" w:ascii="仿宋_GB2312" w:eastAsia="仿宋_GB2312"/>
    </w:rPr>
  </w:style>
  <w:style w:type="paragraph" w:styleId="972">
    <w:name w:val="toc 3"/>
    <w:basedOn w:val="951"/>
    <w:next w:val="951"/>
    <w:uiPriority w:val="39"/>
    <w:unhideWhenUsed/>
    <w:qFormat/>
    <w:pPr>
      <w:ind w:left="840"/>
    </w:pPr>
  </w:style>
  <w:style w:type="paragraph" w:styleId="973">
    <w:name w:val="Plain Text"/>
    <w:basedOn w:val="951"/>
    <w:link w:val="1017"/>
    <w:uiPriority w:val="0"/>
    <w:qFormat/>
    <w:rPr>
      <w:rFonts w:ascii="宋体" w:hAnsi="Courier New" w:eastAsia="楷体_GB2312"/>
      <w:sz w:val="28"/>
      <w:lang w:val="zh-CN"/>
    </w:rPr>
  </w:style>
  <w:style w:type="paragraph" w:styleId="974">
    <w:name w:val="Date"/>
    <w:basedOn w:val="951"/>
    <w:next w:val="951"/>
    <w:link w:val="1065"/>
    <w:uiPriority w:val="0"/>
    <w:qFormat/>
    <w:rPr>
      <w:sz w:val="20"/>
      <w:lang w:val="zh-CN"/>
    </w:rPr>
  </w:style>
  <w:style w:type="paragraph" w:styleId="975">
    <w:name w:val="Body Text Indent 2"/>
    <w:basedOn w:val="951"/>
    <w:link w:val="1075"/>
    <w:uiPriority w:val="0"/>
    <w:qFormat/>
    <w:pPr>
      <w:ind w:firstLine="564"/>
    </w:pPr>
    <w:rPr>
      <w:rFonts w:ascii="宋体" w:hAnsi="宋体"/>
      <w:color w:val="ff0000"/>
      <w:sz w:val="24"/>
      <w:lang w:val="zh-CN"/>
    </w:rPr>
  </w:style>
  <w:style w:type="paragraph" w:styleId="976">
    <w:name w:val="Balloon Text"/>
    <w:basedOn w:val="951"/>
    <w:link w:val="1069"/>
    <w:uiPriority w:val="0"/>
    <w:qFormat/>
    <w:rPr>
      <w:sz w:val="18"/>
      <w:szCs w:val="18"/>
      <w:lang w:val="zh-CN"/>
    </w:rPr>
  </w:style>
  <w:style w:type="paragraph" w:styleId="977">
    <w:name w:val="Footer"/>
    <w:basedOn w:val="951"/>
    <w:link w:val="1095"/>
    <w:uiPriority w:val="99"/>
    <w:unhideWhenUsed/>
    <w:qFormat/>
    <w:pPr>
      <w:jc w:val="left"/>
      <w:tabs>
        <w:tab w:val="center" w:pos="4153" w:leader="none"/>
        <w:tab w:val="right" w:pos="8306" w:leader="none"/>
      </w:tabs>
    </w:pPr>
    <w:rPr>
      <w:sz w:val="18"/>
      <w:szCs w:val="18"/>
      <w:lang w:val="zh-CN"/>
    </w:rPr>
  </w:style>
  <w:style w:type="paragraph" w:styleId="978">
    <w:name w:val="envelope return"/>
    <w:basedOn w:val="951"/>
    <w:uiPriority w:val="0"/>
    <w:qFormat/>
    <w:rPr>
      <w:rFonts w:ascii="Arial" w:hAnsi="Arial" w:eastAsia="楷体_GB2312"/>
      <w:sz w:val="26"/>
    </w:rPr>
  </w:style>
  <w:style w:type="paragraph" w:styleId="979">
    <w:name w:val="Header"/>
    <w:basedOn w:val="951"/>
    <w:link w:val="1081"/>
    <w:uiPriority w:val="0"/>
    <w:unhideWhenUsed/>
    <w:qFormat/>
    <w:pPr>
      <w:jc w:val="center"/>
      <w:tabs>
        <w:tab w:val="center" w:pos="4153" w:leader="none"/>
        <w:tab w:val="right" w:pos="8306" w:leader="none"/>
      </w:tabs>
      <w:pBdr>
        <w:bottom w:val="single" w:color="auto" w:sz="6" w:space="1"/>
      </w:pBdr>
    </w:pPr>
    <w:rPr>
      <w:sz w:val="18"/>
      <w:szCs w:val="18"/>
      <w:lang w:val="zh-CN"/>
    </w:rPr>
  </w:style>
  <w:style w:type="paragraph" w:styleId="980">
    <w:name w:val="toc 1"/>
    <w:basedOn w:val="951"/>
    <w:next w:val="951"/>
    <w:uiPriority w:val="0"/>
    <w:qFormat/>
    <w:pPr>
      <w:jc w:val="left"/>
    </w:pPr>
    <w:rPr>
      <w:rFonts w:eastAsia="楷体_GB2312"/>
      <w:sz w:val="24"/>
    </w:rPr>
  </w:style>
  <w:style w:type="paragraph" w:styleId="981">
    <w:name w:val="footnote text"/>
    <w:basedOn w:val="952"/>
    <w:next w:val="971"/>
    <w:uiPriority w:val="0"/>
    <w:qFormat/>
    <w:pPr>
      <w:ind w:firstLine="3584"/>
      <w:jc w:val="left"/>
      <w:keepLines w:val="0"/>
      <w:keepNext w:val="0"/>
      <w:spacing w:before="0" w:after="0" w:line="360" w:lineRule="auto"/>
      <w:widowControl/>
    </w:pPr>
    <w:rPr>
      <w:rFonts w:ascii="Calibri" w:hAnsi="Calibri"/>
      <w:b w:val="0"/>
      <w:bCs w:val="0"/>
      <w:sz w:val="20"/>
      <w:szCs w:val="20"/>
    </w:rPr>
  </w:style>
  <w:style w:type="paragraph" w:styleId="982">
    <w:name w:val="Body Text Indent 3"/>
    <w:basedOn w:val="951"/>
    <w:link w:val="1037"/>
    <w:uiPriority w:val="0"/>
    <w:qFormat/>
    <w:pPr>
      <w:ind w:firstLine="564"/>
      <w:spacing w:line="360" w:lineRule="auto"/>
    </w:pPr>
    <w:rPr>
      <w:rFonts w:ascii="宋体" w:hAnsi="宋体"/>
      <w:sz w:val="18"/>
      <w:lang w:val="zh-CN"/>
    </w:rPr>
  </w:style>
  <w:style w:type="paragraph" w:styleId="983">
    <w:name w:val="toc 2"/>
    <w:basedOn w:val="951"/>
    <w:next w:val="951"/>
    <w:uiPriority w:val="39"/>
    <w:unhideWhenUsed/>
    <w:qFormat/>
    <w:pPr>
      <w:ind w:left="420"/>
    </w:pPr>
  </w:style>
  <w:style w:type="paragraph" w:styleId="984">
    <w:name w:val="Body Text 2"/>
    <w:basedOn w:val="951"/>
    <w:link w:val="1085"/>
    <w:uiPriority w:val="0"/>
    <w:qFormat/>
    <w:pPr>
      <w:spacing w:line="480" w:lineRule="auto"/>
    </w:pPr>
    <w:rPr>
      <w:szCs w:val="24"/>
      <w:lang w:val="zh-CN"/>
    </w:rPr>
  </w:style>
  <w:style w:type="paragraph" w:styleId="985">
    <w:name w:val="HTML Preformatted"/>
    <w:basedOn w:val="951"/>
    <w:link w:val="1059"/>
    <w:uiPriority w:val="0"/>
    <w:qFormat/>
    <w:rPr>
      <w:rFonts w:ascii="Courier New" w:hAnsi="Courier New"/>
      <w:sz w:val="20"/>
      <w:szCs w:val="24"/>
      <w:lang w:val="zh-CN"/>
    </w:rPr>
  </w:style>
  <w:style w:type="paragraph" w:styleId="986">
    <w:name w:val="Normal (Web)"/>
    <w:basedOn w:val="951"/>
    <w:next w:val="970"/>
    <w:link w:val="1016"/>
    <w:uiPriority w:val="0"/>
    <w:unhideWhenUsed/>
    <w:qFormat/>
    <w:pPr>
      <w:jc w:val="left"/>
      <w:widowControl/>
    </w:pPr>
    <w:rPr>
      <w:rFonts w:ascii="宋体" w:hAnsi="宋体"/>
      <w:sz w:val="24"/>
      <w:szCs w:val="24"/>
      <w:lang w:val="zh-CN"/>
    </w:rPr>
  </w:style>
  <w:style w:type="paragraph" w:styleId="987">
    <w:name w:val="Title"/>
    <w:basedOn w:val="951"/>
    <w:link w:val="1038"/>
    <w:uiPriority w:val="0"/>
    <w:qFormat/>
    <w:pPr>
      <w:jc w:val="center"/>
      <w:outlineLvl w:val="0"/>
    </w:pPr>
    <w:rPr>
      <w:rFonts w:ascii="Arial" w:hAnsi="Arial"/>
      <w:b/>
      <w:sz w:val="32"/>
      <w:szCs w:val="24"/>
      <w:lang w:val="zh-CN"/>
    </w:rPr>
  </w:style>
  <w:style w:type="paragraph" w:styleId="988">
    <w:name w:val="annotation subject"/>
    <w:basedOn w:val="966"/>
    <w:next w:val="966"/>
    <w:link w:val="1061"/>
    <w:uiPriority w:val="0"/>
    <w:qFormat/>
    <w:rPr>
      <w:b/>
      <w:bCs/>
      <w:sz w:val="21"/>
      <w:szCs w:val="24"/>
    </w:rPr>
  </w:style>
  <w:style w:type="paragraph" w:styleId="989">
    <w:name w:val="Body Text First Indent"/>
    <w:basedOn w:val="968"/>
    <w:link w:val="1040"/>
    <w:uiPriority w:val="0"/>
    <w:qFormat/>
    <w:pPr>
      <w:ind w:firstLine="420"/>
      <w:spacing w:after="0" w:line="400" w:lineRule="exact"/>
    </w:pPr>
    <w:rPr>
      <w:rFonts w:ascii="Times New Roman" w:hAnsi="Times New Roman"/>
      <w:sz w:val="28"/>
      <w:szCs w:val="24"/>
      <w:lang w:val="zh-CN"/>
    </w:rPr>
  </w:style>
  <w:style w:type="paragraph" w:styleId="990">
    <w:name w:val="Body Text First Indent 2"/>
    <w:basedOn w:val="969"/>
    <w:link w:val="1135"/>
    <w:uiPriority w:val="99"/>
    <w:unhideWhenUsed/>
    <w:qFormat/>
    <w:pPr>
      <w:ind w:left="420"/>
      <w:spacing w:after="120" w:line="240" w:lineRule="auto"/>
    </w:pPr>
    <w:rPr>
      <w:rFonts w:ascii="Times New Roman" w:hAnsi="Times New Roman"/>
      <w:szCs w:val="20"/>
      <w:lang w:val="en-US"/>
    </w:rPr>
  </w:style>
  <w:style w:type="table" w:styleId="991">
    <w:name w:val="Table Grid"/>
    <w:basedOn w:val="962"/>
    <w:uiPriority w:val="0"/>
    <w:qFormat/>
    <w:rPr>
      <w:rFonts w:ascii="Calibri" w:hAnsi="Calibri" w:eastAsia="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92">
    <w:name w:val="Medium Grid 3"/>
    <w:basedOn w:val="962"/>
    <w:uiPriority w:val="0"/>
    <w:qFormat/>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Pr>
    <w:tcPr>
      <w:shd w:val="clear" w:color="auto" w:fill="c0c0c0"/>
    </w:tcPr>
    <w:tblStylePr w:type="band1Horz">
      <w:tcPr>
        <w:shd w:val="clear" w:color="auto" w:fill="808080"/>
        <w:tcBorders>
          <w:top w:val="single" w:color="CCE8CF" w:sz="8" w:space="0"/>
          <w:left w:val="single" w:color="CCE8CF" w:sz="8" w:space="0"/>
          <w:bottom w:val="single" w:color="CCE8CF" w:sz="8" w:space="0"/>
          <w:right w:val="single" w:color="CCE8CF" w:sz="8" w:space="0"/>
          <w:insideH w:val="single" w:color="000000" w:sz="8" w:space="0"/>
          <w:insideV w:val="single" w:color="000000" w:sz="8" w:space="0"/>
        </w:tcBorders>
      </w:tcPr>
    </w:tblStylePr>
    <w:tblStylePr w:type="band1Vert">
      <w:tcPr>
        <w:shd w:val="clear" w:color="auto" w:fill="808080"/>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rPr>
        <w:b/>
        <w:bCs/>
        <w:i w:val="0"/>
        <w:iCs w:val="0"/>
        <w:color w:val="ffffff"/>
      </w:rPr>
      <w:tcPr>
        <w:shd w:val="clear" w:color="auto" w:fill="000000"/>
        <w:tcBorders>
          <w:top w:val="none" w:color="000000" w:sz="4" w:space="0"/>
          <w:left w:val="single" w:color="CCE8CF" w:sz="8" w:space="0"/>
          <w:bottom w:val="none" w:color="000000" w:sz="4" w:space="0"/>
          <w:right w:val="single" w:color="CCE8CF" w:sz="24" w:space="0"/>
          <w:insideH w:val="none" w:color="000000" w:sz="4" w:space="0"/>
          <w:insideV w:val="none" w:color="000000" w:sz="4" w:space="0"/>
        </w:tcBorders>
      </w:tcPr>
    </w:tblStylePr>
    <w:tblStylePr w:type="firstRow">
      <w:rPr>
        <w:b/>
        <w:bCs/>
        <w:i w:val="0"/>
        <w:iCs w:val="0"/>
        <w:color w:val="ffffff"/>
      </w:rPr>
      <w:tcPr>
        <w:shd w:val="clear" w:color="auto" w:fill="000000"/>
        <w:tcBorders>
          <w:top w:val="single" w:color="CCE8CF" w:sz="8" w:space="0"/>
          <w:left w:val="single" w:color="CCE8CF" w:sz="8" w:space="0"/>
          <w:bottom w:val="single" w:color="CCE8CF" w:sz="24" w:space="0"/>
          <w:right w:val="single" w:color="CCE8CF" w:sz="8" w:space="0"/>
          <w:insideH w:val="none" w:color="000000" w:sz="4" w:space="0"/>
          <w:insideV w:val="single" w:color="000000" w:sz="8" w:space="0"/>
        </w:tcBorders>
      </w:tcPr>
    </w:tblStylePr>
    <w:tblStylePr w:type="lastCol">
      <w:rPr>
        <w:b/>
        <w:bCs/>
        <w:i w:val="0"/>
        <w:iCs w:val="0"/>
        <w:color w:val="ffffff"/>
      </w:rPr>
      <w:tcPr>
        <w:shd w:val="clear" w:color="auto" w:fill="000000"/>
        <w:tcBorders>
          <w:top w:val="none" w:color="000000" w:sz="4" w:space="0"/>
          <w:left w:val="single" w:color="CCE8CF"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rPr>
      <w:tcPr>
        <w:shd w:val="clear" w:color="auto" w:fill="000000"/>
        <w:tcBorders>
          <w:top w:val="single" w:color="CCE8CF" w:sz="24" w:space="0"/>
          <w:left w:val="single" w:color="CCE8CF" w:sz="8" w:space="0"/>
          <w:bottom w:val="single" w:color="CCE8CF" w:sz="8" w:space="0"/>
          <w:right w:val="single" w:color="CCE8CF" w:sz="8" w:space="0"/>
          <w:insideH w:val="none" w:color="000000" w:sz="4" w:space="0"/>
          <w:insideV w:val="single" w:color="000000" w:sz="8" w:space="0"/>
        </w:tcBorders>
      </w:tcPr>
    </w:tblStylePr>
  </w:style>
  <w:style w:type="table" w:styleId="993">
    <w:name w:val="Medium Grid 3 Accent 1"/>
    <w:basedOn w:val="962"/>
    <w:uiPriority w:val="0"/>
    <w:qFormat/>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Pr>
    <w:tcPr>
      <w:shd w:val="clear" w:color="auto" w:fill="d3dfee"/>
    </w:tcPr>
    <w:tblStylePr w:type="band1Horz">
      <w:tcPr>
        <w:shd w:val="clear" w:color="auto" w:fill="a7bfde"/>
        <w:tcBorders>
          <w:top w:val="single" w:color="CCE8CF" w:sz="8" w:space="0"/>
          <w:left w:val="single" w:color="CCE8CF" w:sz="8" w:space="0"/>
          <w:bottom w:val="single" w:color="CCE8CF" w:sz="8" w:space="0"/>
          <w:right w:val="single" w:color="CCE8CF" w:sz="8" w:space="0"/>
          <w:insideH w:val="single" w:color="000000" w:sz="8" w:space="0"/>
          <w:insideV w:val="single" w:color="000000" w:sz="8" w:space="0"/>
        </w:tcBorders>
      </w:tcPr>
    </w:tblStylePr>
    <w:tblStylePr w:type="band1Vert">
      <w:tcPr>
        <w:shd w:val="clear" w:color="auto" w:fill="a7bfde"/>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rPr>
        <w:b/>
        <w:bCs/>
        <w:i w:val="0"/>
        <w:iCs w:val="0"/>
        <w:color w:val="ffffff"/>
      </w:rPr>
      <w:tcPr>
        <w:shd w:val="clear" w:color="auto" w:fill="4f81bd"/>
        <w:tcBorders>
          <w:top w:val="none" w:color="000000" w:sz="4" w:space="0"/>
          <w:left w:val="single" w:color="CCE8CF" w:sz="8" w:space="0"/>
          <w:bottom w:val="none" w:color="000000" w:sz="4" w:space="0"/>
          <w:right w:val="single" w:color="CCE8CF" w:sz="24" w:space="0"/>
          <w:insideH w:val="none" w:color="000000" w:sz="4" w:space="0"/>
          <w:insideV w:val="none" w:color="000000" w:sz="4" w:space="0"/>
        </w:tcBorders>
      </w:tcPr>
    </w:tblStylePr>
    <w:tblStylePr w:type="firstRow">
      <w:rPr>
        <w:b/>
        <w:bCs/>
        <w:i w:val="0"/>
        <w:iCs w:val="0"/>
        <w:color w:val="ffffff"/>
      </w:rPr>
      <w:tcPr>
        <w:shd w:val="clear" w:color="auto" w:fill="4f81bd"/>
        <w:tcBorders>
          <w:top w:val="single" w:color="CCE8CF" w:sz="8" w:space="0"/>
          <w:left w:val="single" w:color="CCE8CF" w:sz="8" w:space="0"/>
          <w:bottom w:val="single" w:color="CCE8CF" w:sz="24" w:space="0"/>
          <w:right w:val="single" w:color="CCE8CF" w:sz="8" w:space="0"/>
          <w:insideH w:val="none" w:color="000000" w:sz="4" w:space="0"/>
          <w:insideV w:val="single" w:color="000000" w:sz="8" w:space="0"/>
        </w:tcBorders>
      </w:tcPr>
    </w:tblStylePr>
    <w:tblStylePr w:type="lastCol">
      <w:rPr>
        <w:b/>
        <w:bCs/>
        <w:i w:val="0"/>
        <w:iCs w:val="0"/>
        <w:color w:val="ffffff"/>
      </w:rPr>
      <w:tcPr>
        <w:shd w:val="clear" w:color="auto" w:fill="4f81bd"/>
        <w:tcBorders>
          <w:top w:val="none" w:color="000000" w:sz="4" w:space="0"/>
          <w:left w:val="single" w:color="CCE8CF"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rPr>
      <w:tcPr>
        <w:shd w:val="clear" w:color="auto" w:fill="4f81bd"/>
        <w:tcBorders>
          <w:top w:val="single" w:color="CCE8CF" w:sz="24" w:space="0"/>
          <w:left w:val="single" w:color="CCE8CF" w:sz="8" w:space="0"/>
          <w:bottom w:val="single" w:color="CCE8CF" w:sz="8" w:space="0"/>
          <w:right w:val="single" w:color="CCE8CF" w:sz="8" w:space="0"/>
          <w:insideH w:val="none" w:color="000000" w:sz="4" w:space="0"/>
          <w:insideV w:val="single" w:color="000000" w:sz="8" w:space="0"/>
        </w:tcBorders>
      </w:tcPr>
    </w:tblStylePr>
  </w:style>
  <w:style w:type="table" w:styleId="994">
    <w:name w:val="Medium Grid 3 Accent 2"/>
    <w:basedOn w:val="962"/>
    <w:uiPriority w:val="0"/>
    <w:qFormat/>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Pr>
    <w:tcPr>
      <w:shd w:val="clear" w:color="auto" w:fill="efd3d2"/>
    </w:tcPr>
    <w:tblStylePr w:type="band1Horz">
      <w:tcPr>
        <w:shd w:val="clear" w:color="auto" w:fill="dfa7a6"/>
        <w:tcBorders>
          <w:top w:val="single" w:color="CCE8CF" w:sz="8" w:space="0"/>
          <w:left w:val="single" w:color="CCE8CF" w:sz="8" w:space="0"/>
          <w:bottom w:val="single" w:color="CCE8CF" w:sz="8" w:space="0"/>
          <w:right w:val="single" w:color="CCE8CF" w:sz="8" w:space="0"/>
          <w:insideH w:val="single" w:color="000000" w:sz="8" w:space="0"/>
          <w:insideV w:val="single" w:color="000000" w:sz="8" w:space="0"/>
        </w:tcBorders>
      </w:tcPr>
    </w:tblStylePr>
    <w:tblStylePr w:type="band1Vert">
      <w:tcPr>
        <w:shd w:val="clear" w:color="auto" w:fill="dfa7a6"/>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rPr>
        <w:b/>
        <w:bCs/>
        <w:i w:val="0"/>
        <w:iCs w:val="0"/>
        <w:color w:val="ffffff"/>
      </w:rPr>
      <w:tcPr>
        <w:shd w:val="clear" w:color="auto" w:fill="c0504d"/>
        <w:tcBorders>
          <w:top w:val="none" w:color="000000" w:sz="4" w:space="0"/>
          <w:left w:val="single" w:color="CCE8CF" w:sz="8" w:space="0"/>
          <w:bottom w:val="none" w:color="000000" w:sz="4" w:space="0"/>
          <w:right w:val="single" w:color="CCE8CF" w:sz="24" w:space="0"/>
          <w:insideH w:val="none" w:color="000000" w:sz="4" w:space="0"/>
          <w:insideV w:val="none" w:color="000000" w:sz="4" w:space="0"/>
        </w:tcBorders>
      </w:tcPr>
    </w:tblStylePr>
    <w:tblStylePr w:type="firstRow">
      <w:rPr>
        <w:b/>
        <w:bCs/>
        <w:i w:val="0"/>
        <w:iCs w:val="0"/>
        <w:color w:val="ffffff"/>
      </w:rPr>
      <w:tcPr>
        <w:shd w:val="clear" w:color="auto" w:fill="c0504d"/>
        <w:tcBorders>
          <w:top w:val="single" w:color="CCE8CF" w:sz="8" w:space="0"/>
          <w:left w:val="single" w:color="CCE8CF" w:sz="8" w:space="0"/>
          <w:bottom w:val="single" w:color="CCE8CF" w:sz="24" w:space="0"/>
          <w:right w:val="single" w:color="CCE8CF" w:sz="8" w:space="0"/>
          <w:insideH w:val="none" w:color="000000" w:sz="4" w:space="0"/>
          <w:insideV w:val="single" w:color="000000" w:sz="8" w:space="0"/>
        </w:tcBorders>
      </w:tcPr>
    </w:tblStylePr>
    <w:tblStylePr w:type="lastCol">
      <w:rPr>
        <w:b/>
        <w:bCs/>
        <w:i w:val="0"/>
        <w:iCs w:val="0"/>
        <w:color w:val="ffffff"/>
      </w:rPr>
      <w:tcPr>
        <w:shd w:val="clear" w:color="auto" w:fill="c0504d"/>
        <w:tcBorders>
          <w:top w:val="none" w:color="000000" w:sz="4" w:space="0"/>
          <w:left w:val="single" w:color="CCE8CF"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rPr>
      <w:tcPr>
        <w:shd w:val="clear" w:color="auto" w:fill="c0504d"/>
        <w:tcBorders>
          <w:top w:val="single" w:color="CCE8CF" w:sz="24" w:space="0"/>
          <w:left w:val="single" w:color="CCE8CF" w:sz="8" w:space="0"/>
          <w:bottom w:val="single" w:color="CCE8CF" w:sz="8" w:space="0"/>
          <w:right w:val="single" w:color="CCE8CF" w:sz="8" w:space="0"/>
          <w:insideH w:val="none" w:color="000000" w:sz="4" w:space="0"/>
          <w:insideV w:val="single" w:color="000000" w:sz="8" w:space="0"/>
        </w:tcBorders>
      </w:tcPr>
    </w:tblStylePr>
  </w:style>
  <w:style w:type="table" w:styleId="995">
    <w:name w:val="Medium Grid 3 Accent 3"/>
    <w:basedOn w:val="962"/>
    <w:uiPriority w:val="0"/>
    <w:qFormat/>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Pr>
    <w:tcPr>
      <w:shd w:val="clear" w:color="auto" w:fill="e6eed5"/>
    </w:tcPr>
    <w:tblStylePr w:type="band1Horz">
      <w:tcPr>
        <w:shd w:val="clear" w:color="auto" w:fill="cdddac"/>
        <w:tcBorders>
          <w:top w:val="single" w:color="CCE8CF" w:sz="8" w:space="0"/>
          <w:left w:val="single" w:color="CCE8CF" w:sz="8" w:space="0"/>
          <w:bottom w:val="single" w:color="CCE8CF" w:sz="8" w:space="0"/>
          <w:right w:val="single" w:color="CCE8CF" w:sz="8" w:space="0"/>
          <w:insideH w:val="single" w:color="000000" w:sz="8" w:space="0"/>
          <w:insideV w:val="single" w:color="000000" w:sz="8" w:space="0"/>
        </w:tcBorders>
      </w:tcPr>
    </w:tblStylePr>
    <w:tblStylePr w:type="band1Vert">
      <w:tcPr>
        <w:shd w:val="clear" w:color="auto" w:fill="cdddac"/>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rPr>
        <w:b/>
        <w:bCs/>
        <w:i w:val="0"/>
        <w:iCs w:val="0"/>
        <w:color w:val="ffffff"/>
      </w:rPr>
      <w:tcPr>
        <w:shd w:val="clear" w:color="auto" w:fill="9bbb59"/>
        <w:tcBorders>
          <w:top w:val="none" w:color="000000" w:sz="4" w:space="0"/>
          <w:left w:val="single" w:color="CCE8CF" w:sz="8" w:space="0"/>
          <w:bottom w:val="none" w:color="000000" w:sz="4" w:space="0"/>
          <w:right w:val="single" w:color="CCE8CF" w:sz="24" w:space="0"/>
          <w:insideH w:val="none" w:color="000000" w:sz="4" w:space="0"/>
          <w:insideV w:val="none" w:color="000000" w:sz="4" w:space="0"/>
        </w:tcBorders>
      </w:tcPr>
    </w:tblStylePr>
    <w:tblStylePr w:type="firstRow">
      <w:rPr>
        <w:b/>
        <w:bCs/>
        <w:i w:val="0"/>
        <w:iCs w:val="0"/>
        <w:color w:val="ffffff"/>
      </w:rPr>
      <w:tcPr>
        <w:shd w:val="clear" w:color="auto" w:fill="9bbb59"/>
        <w:tcBorders>
          <w:top w:val="single" w:color="CCE8CF" w:sz="8" w:space="0"/>
          <w:left w:val="single" w:color="CCE8CF" w:sz="8" w:space="0"/>
          <w:bottom w:val="single" w:color="CCE8CF" w:sz="24" w:space="0"/>
          <w:right w:val="single" w:color="CCE8CF" w:sz="8" w:space="0"/>
          <w:insideH w:val="none" w:color="000000" w:sz="4" w:space="0"/>
          <w:insideV w:val="single" w:color="000000" w:sz="8" w:space="0"/>
        </w:tcBorders>
      </w:tcPr>
    </w:tblStylePr>
    <w:tblStylePr w:type="lastCol">
      <w:rPr>
        <w:b/>
        <w:bCs/>
        <w:i w:val="0"/>
        <w:iCs w:val="0"/>
        <w:color w:val="ffffff"/>
      </w:rPr>
      <w:tcPr>
        <w:shd w:val="clear" w:color="auto" w:fill="9bbb59"/>
        <w:tcBorders>
          <w:top w:val="none" w:color="000000" w:sz="4" w:space="0"/>
          <w:left w:val="single" w:color="CCE8CF"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rPr>
      <w:tcPr>
        <w:shd w:val="clear" w:color="auto" w:fill="9bbb59"/>
        <w:tcBorders>
          <w:top w:val="single" w:color="CCE8CF" w:sz="24" w:space="0"/>
          <w:left w:val="single" w:color="CCE8CF" w:sz="8" w:space="0"/>
          <w:bottom w:val="single" w:color="CCE8CF" w:sz="8" w:space="0"/>
          <w:right w:val="single" w:color="CCE8CF" w:sz="8" w:space="0"/>
          <w:insideH w:val="none" w:color="000000" w:sz="4" w:space="0"/>
          <w:insideV w:val="single" w:color="000000" w:sz="8" w:space="0"/>
        </w:tcBorders>
      </w:tcPr>
    </w:tblStylePr>
  </w:style>
  <w:style w:type="table" w:styleId="996">
    <w:name w:val="Medium Grid 3 Accent 4"/>
    <w:basedOn w:val="962"/>
    <w:uiPriority w:val="0"/>
    <w:qFormat/>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Pr>
    <w:tcPr>
      <w:shd w:val="clear" w:color="auto" w:fill="dfd8e8"/>
    </w:tcPr>
    <w:tblStylePr w:type="band1Horz">
      <w:tcPr>
        <w:shd w:val="clear" w:color="auto" w:fill="bfb1d0"/>
        <w:tcBorders>
          <w:top w:val="single" w:color="CCE8CF" w:sz="8" w:space="0"/>
          <w:left w:val="single" w:color="CCE8CF" w:sz="8" w:space="0"/>
          <w:bottom w:val="single" w:color="CCE8CF" w:sz="8" w:space="0"/>
          <w:right w:val="single" w:color="CCE8CF" w:sz="8" w:space="0"/>
          <w:insideH w:val="single" w:color="000000" w:sz="8" w:space="0"/>
          <w:insideV w:val="single" w:color="000000" w:sz="8" w:space="0"/>
        </w:tcBorders>
      </w:tcPr>
    </w:tblStylePr>
    <w:tblStylePr w:type="band1Vert">
      <w:tcPr>
        <w:shd w:val="clear" w:color="auto" w:fill="bfb1d0"/>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rPr>
        <w:b/>
        <w:bCs/>
        <w:i w:val="0"/>
        <w:iCs w:val="0"/>
        <w:color w:val="ffffff"/>
      </w:rPr>
      <w:tcPr>
        <w:shd w:val="clear" w:color="auto" w:fill="8064a2"/>
        <w:tcBorders>
          <w:top w:val="none" w:color="000000" w:sz="4" w:space="0"/>
          <w:left w:val="single" w:color="CCE8CF" w:sz="8" w:space="0"/>
          <w:bottom w:val="none" w:color="000000" w:sz="4" w:space="0"/>
          <w:right w:val="single" w:color="CCE8CF" w:sz="24" w:space="0"/>
          <w:insideH w:val="none" w:color="000000" w:sz="4" w:space="0"/>
          <w:insideV w:val="none" w:color="000000" w:sz="4" w:space="0"/>
        </w:tcBorders>
      </w:tcPr>
    </w:tblStylePr>
    <w:tblStylePr w:type="firstRow">
      <w:rPr>
        <w:b/>
        <w:bCs/>
        <w:i w:val="0"/>
        <w:iCs w:val="0"/>
        <w:color w:val="ffffff"/>
      </w:rPr>
      <w:tcPr>
        <w:shd w:val="clear" w:color="auto" w:fill="8064a2"/>
        <w:tcBorders>
          <w:top w:val="single" w:color="CCE8CF" w:sz="8" w:space="0"/>
          <w:left w:val="single" w:color="CCE8CF" w:sz="8" w:space="0"/>
          <w:bottom w:val="single" w:color="CCE8CF" w:sz="24" w:space="0"/>
          <w:right w:val="single" w:color="CCE8CF" w:sz="8" w:space="0"/>
          <w:insideH w:val="none" w:color="000000" w:sz="4" w:space="0"/>
          <w:insideV w:val="single" w:color="000000" w:sz="8" w:space="0"/>
        </w:tcBorders>
      </w:tcPr>
    </w:tblStylePr>
    <w:tblStylePr w:type="lastCol">
      <w:rPr>
        <w:b/>
        <w:bCs/>
        <w:i w:val="0"/>
        <w:iCs w:val="0"/>
        <w:color w:val="ffffff"/>
      </w:rPr>
      <w:tcPr>
        <w:shd w:val="clear" w:color="auto" w:fill="8064a2"/>
        <w:tcBorders>
          <w:top w:val="none" w:color="000000" w:sz="4" w:space="0"/>
          <w:left w:val="single" w:color="CCE8CF"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rPr>
      <w:tcPr>
        <w:shd w:val="clear" w:color="auto" w:fill="8064a2"/>
        <w:tcBorders>
          <w:top w:val="single" w:color="CCE8CF" w:sz="24" w:space="0"/>
          <w:left w:val="single" w:color="CCE8CF" w:sz="8" w:space="0"/>
          <w:bottom w:val="single" w:color="CCE8CF" w:sz="8" w:space="0"/>
          <w:right w:val="single" w:color="CCE8CF" w:sz="8" w:space="0"/>
          <w:insideH w:val="none" w:color="000000" w:sz="4" w:space="0"/>
          <w:insideV w:val="single" w:color="000000" w:sz="8" w:space="0"/>
        </w:tcBorders>
      </w:tcPr>
    </w:tblStylePr>
  </w:style>
  <w:style w:type="table" w:styleId="997">
    <w:name w:val="Medium Grid 3 Accent 5"/>
    <w:basedOn w:val="962"/>
    <w:uiPriority w:val="0"/>
    <w:qFormat/>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Pr>
    <w:tcPr>
      <w:shd w:val="clear" w:color="auto" w:fill="d2eaf1"/>
    </w:tcPr>
    <w:tblStylePr w:type="band1Horz">
      <w:tcPr>
        <w:shd w:val="clear" w:color="auto" w:fill="a5d5e2"/>
        <w:tcBorders>
          <w:top w:val="single" w:color="CCE8CF" w:sz="8" w:space="0"/>
          <w:left w:val="single" w:color="CCE8CF" w:sz="8" w:space="0"/>
          <w:bottom w:val="single" w:color="CCE8CF" w:sz="8" w:space="0"/>
          <w:right w:val="single" w:color="CCE8CF" w:sz="8" w:space="0"/>
          <w:insideH w:val="single" w:color="000000" w:sz="8" w:space="0"/>
          <w:insideV w:val="single" w:color="000000" w:sz="8" w:space="0"/>
        </w:tcBorders>
      </w:tcPr>
    </w:tblStylePr>
    <w:tblStylePr w:type="band1Vert">
      <w:tcPr>
        <w:shd w:val="clear" w:color="auto" w:fill="a5d5e2"/>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rPr>
        <w:b/>
        <w:bCs/>
        <w:i w:val="0"/>
        <w:iCs w:val="0"/>
        <w:color w:val="ffffff"/>
      </w:rPr>
      <w:tcPr>
        <w:shd w:val="clear" w:color="auto" w:fill="4bacc6"/>
        <w:tcBorders>
          <w:top w:val="none" w:color="000000" w:sz="4" w:space="0"/>
          <w:left w:val="single" w:color="CCE8CF" w:sz="8" w:space="0"/>
          <w:bottom w:val="none" w:color="000000" w:sz="4" w:space="0"/>
          <w:right w:val="single" w:color="CCE8CF" w:sz="24" w:space="0"/>
          <w:insideH w:val="none" w:color="000000" w:sz="4" w:space="0"/>
          <w:insideV w:val="none" w:color="000000" w:sz="4" w:space="0"/>
        </w:tcBorders>
      </w:tcPr>
    </w:tblStylePr>
    <w:tblStylePr w:type="firstRow">
      <w:rPr>
        <w:b/>
        <w:bCs/>
        <w:i w:val="0"/>
        <w:iCs w:val="0"/>
        <w:color w:val="ffffff"/>
      </w:rPr>
      <w:tcPr>
        <w:shd w:val="clear" w:color="auto" w:fill="4bacc6"/>
        <w:tcBorders>
          <w:top w:val="single" w:color="CCE8CF" w:sz="8" w:space="0"/>
          <w:left w:val="single" w:color="CCE8CF" w:sz="8" w:space="0"/>
          <w:bottom w:val="single" w:color="CCE8CF" w:sz="24" w:space="0"/>
          <w:right w:val="single" w:color="CCE8CF" w:sz="8" w:space="0"/>
          <w:insideH w:val="none" w:color="000000" w:sz="4" w:space="0"/>
          <w:insideV w:val="single" w:color="000000" w:sz="8" w:space="0"/>
        </w:tcBorders>
      </w:tcPr>
    </w:tblStylePr>
    <w:tblStylePr w:type="lastCol">
      <w:rPr>
        <w:b/>
        <w:bCs/>
        <w:i w:val="0"/>
        <w:iCs w:val="0"/>
        <w:color w:val="ffffff"/>
      </w:rPr>
      <w:tcPr>
        <w:shd w:val="clear" w:color="auto" w:fill="4bacc6"/>
        <w:tcBorders>
          <w:top w:val="none" w:color="000000" w:sz="4" w:space="0"/>
          <w:left w:val="single" w:color="CCE8CF"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rPr>
      <w:tcPr>
        <w:shd w:val="clear" w:color="auto" w:fill="4bacc6"/>
        <w:tcBorders>
          <w:top w:val="single" w:color="CCE8CF" w:sz="24" w:space="0"/>
          <w:left w:val="single" w:color="CCE8CF" w:sz="8" w:space="0"/>
          <w:bottom w:val="single" w:color="CCE8CF" w:sz="8" w:space="0"/>
          <w:right w:val="single" w:color="CCE8CF" w:sz="8" w:space="0"/>
          <w:insideH w:val="none" w:color="000000" w:sz="4" w:space="0"/>
          <w:insideV w:val="single" w:color="000000" w:sz="8" w:space="0"/>
        </w:tcBorders>
      </w:tcPr>
    </w:tblStylePr>
  </w:style>
  <w:style w:type="table" w:styleId="998">
    <w:name w:val="Medium Grid 3 Accent 6"/>
    <w:basedOn w:val="962"/>
    <w:uiPriority w:val="0"/>
    <w:qFormat/>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Pr>
    <w:tcPr>
      <w:shd w:val="clear" w:color="auto" w:fill="fde4d0"/>
    </w:tcPr>
    <w:tblStylePr w:type="band1Horz">
      <w:tcPr>
        <w:shd w:val="clear" w:color="auto" w:fill="fbcaa2"/>
        <w:tcBorders>
          <w:top w:val="single" w:color="CCE8CF" w:sz="8" w:space="0"/>
          <w:left w:val="single" w:color="CCE8CF" w:sz="8" w:space="0"/>
          <w:bottom w:val="single" w:color="CCE8CF" w:sz="8" w:space="0"/>
          <w:right w:val="single" w:color="CCE8CF" w:sz="8" w:space="0"/>
          <w:insideH w:val="single" w:color="000000" w:sz="8" w:space="0"/>
          <w:insideV w:val="single" w:color="000000" w:sz="8" w:space="0"/>
        </w:tcBorders>
      </w:tcPr>
    </w:tblStylePr>
    <w:tblStylePr w:type="band1Vert">
      <w:tcPr>
        <w:shd w:val="clear" w:color="auto" w:fill="fbcaa2"/>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rPr>
        <w:b/>
        <w:bCs/>
        <w:i w:val="0"/>
        <w:iCs w:val="0"/>
        <w:color w:val="ffffff"/>
      </w:rPr>
      <w:tcPr>
        <w:shd w:val="clear" w:color="auto" w:fill="f79646"/>
        <w:tcBorders>
          <w:top w:val="none" w:color="000000" w:sz="4" w:space="0"/>
          <w:left w:val="single" w:color="CCE8CF" w:sz="8" w:space="0"/>
          <w:bottom w:val="none" w:color="000000" w:sz="4" w:space="0"/>
          <w:right w:val="single" w:color="CCE8CF" w:sz="24" w:space="0"/>
          <w:insideH w:val="none" w:color="000000" w:sz="4" w:space="0"/>
          <w:insideV w:val="none" w:color="000000" w:sz="4" w:space="0"/>
        </w:tcBorders>
      </w:tcPr>
    </w:tblStylePr>
    <w:tblStylePr w:type="firstRow">
      <w:rPr>
        <w:b/>
        <w:bCs/>
        <w:i w:val="0"/>
        <w:iCs w:val="0"/>
        <w:color w:val="ffffff"/>
      </w:rPr>
      <w:tcPr>
        <w:shd w:val="clear" w:color="auto" w:fill="f79646"/>
        <w:tcBorders>
          <w:top w:val="single" w:color="CCE8CF" w:sz="8" w:space="0"/>
          <w:left w:val="single" w:color="CCE8CF" w:sz="8" w:space="0"/>
          <w:bottom w:val="single" w:color="CCE8CF" w:sz="24" w:space="0"/>
          <w:right w:val="single" w:color="CCE8CF" w:sz="8" w:space="0"/>
          <w:insideH w:val="none" w:color="000000" w:sz="4" w:space="0"/>
          <w:insideV w:val="single" w:color="000000" w:sz="8" w:space="0"/>
        </w:tcBorders>
      </w:tcPr>
    </w:tblStylePr>
    <w:tblStylePr w:type="lastCol">
      <w:rPr>
        <w:b/>
        <w:bCs/>
        <w:i w:val="0"/>
        <w:iCs w:val="0"/>
        <w:color w:val="ffffff"/>
      </w:rPr>
      <w:tcPr>
        <w:shd w:val="clear" w:color="auto" w:fill="f79646"/>
        <w:tcBorders>
          <w:top w:val="none" w:color="000000" w:sz="4" w:space="0"/>
          <w:left w:val="single" w:color="CCE8CF"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rPr>
      <w:tcPr>
        <w:shd w:val="clear" w:color="auto" w:fill="f79646"/>
        <w:tcBorders>
          <w:top w:val="single" w:color="CCE8CF" w:sz="24" w:space="0"/>
          <w:left w:val="single" w:color="CCE8CF" w:sz="8" w:space="0"/>
          <w:bottom w:val="single" w:color="CCE8CF" w:sz="8" w:space="0"/>
          <w:right w:val="single" w:color="CCE8CF" w:sz="8" w:space="0"/>
          <w:insideH w:val="none" w:color="000000" w:sz="4" w:space="0"/>
          <w:insideV w:val="single" w:color="000000" w:sz="8" w:space="0"/>
        </w:tcBorders>
      </w:tcPr>
    </w:tblStylePr>
  </w:style>
  <w:style w:type="character" w:styleId="999">
    <w:name w:val="Strong"/>
    <w:uiPriority w:val="0"/>
    <w:qFormat/>
    <w:rPr>
      <w:b/>
      <w:bCs/>
    </w:rPr>
  </w:style>
  <w:style w:type="character" w:styleId="1000">
    <w:name w:val="page number"/>
    <w:basedOn w:val="961"/>
    <w:uiPriority w:val="0"/>
    <w:qFormat/>
  </w:style>
  <w:style w:type="character" w:styleId="1001">
    <w:name w:val="FollowedHyperlink"/>
    <w:uiPriority w:val="0"/>
    <w:qFormat/>
    <w:rPr>
      <w:rFonts w:ascii="Times New Roman" w:hAnsi="Times New Roman" w:eastAsia="宋体" w:cs="Times New Roman"/>
      <w:color w:val="585858"/>
      <w:u w:val="none"/>
    </w:rPr>
  </w:style>
  <w:style w:type="character" w:styleId="1002">
    <w:name w:val="Emphasis"/>
    <w:uiPriority w:val="0"/>
    <w:qFormat/>
  </w:style>
  <w:style w:type="character" w:styleId="1003">
    <w:name w:val="HTML Typewriter"/>
    <w:uiPriority w:val="0"/>
    <w:unhideWhenUsed/>
    <w:qFormat/>
    <w:rPr>
      <w:rFonts w:hint="eastAsia" w:ascii="宋体" w:hAnsi="宋体" w:eastAsia="宋体" w:cs="宋体"/>
      <w:sz w:val="24"/>
      <w:szCs w:val="24"/>
      <w:lang w:val="en-US" w:eastAsia="zh-CN" w:bidi="ar-SA"/>
    </w:rPr>
  </w:style>
  <w:style w:type="character" w:styleId="1004">
    <w:name w:val="Hyperlink"/>
    <w:uiPriority w:val="0"/>
    <w:qFormat/>
    <w:rPr>
      <w:color w:val="0000ff"/>
      <w:u w:val="single"/>
    </w:rPr>
  </w:style>
  <w:style w:type="character" w:styleId="1005">
    <w:name w:val="annotation reference"/>
    <w:uiPriority w:val="99"/>
    <w:qFormat/>
    <w:rPr>
      <w:rFonts w:ascii="Times New Roman" w:hAnsi="Times New Roman" w:eastAsia="宋体" w:cs="Times New Roman"/>
      <w:sz w:val="21"/>
      <w:szCs w:val="21"/>
    </w:rPr>
  </w:style>
  <w:style w:type="character" w:styleId="1006">
    <w:name w:val="footnote reference"/>
    <w:uiPriority w:val="0"/>
    <w:unhideWhenUsed/>
    <w:qFormat/>
    <w:rPr>
      <w:vertAlign w:val="superscript"/>
    </w:rPr>
  </w:style>
  <w:style w:type="paragraph" w:styleId="1007" w:customStyle="1">
    <w:name w:val="正文文本1"/>
    <w:basedOn w:val="951"/>
    <w:next w:val="1008"/>
    <w:uiPriority w:val="0"/>
    <w:qFormat/>
    <w:rPr>
      <w:rFonts w:ascii="楷体_GB2312" w:hAnsi="Arial" w:eastAsia="楷体_GB2312"/>
      <w:sz w:val="28"/>
    </w:rPr>
  </w:style>
  <w:style w:type="paragraph" w:styleId="1008" w:customStyle="1">
    <w:name w:val="正文首行缩进1"/>
    <w:basedOn w:val="1007"/>
    <w:next w:val="1009"/>
    <w:uiPriority w:val="0"/>
    <w:qFormat/>
    <w:pPr>
      <w:ind w:firstLine="420"/>
    </w:pPr>
    <w:rPr>
      <w:rFonts w:ascii="Times New Roman" w:hAnsi="Times New Roman"/>
      <w:sz w:val="20"/>
      <w:szCs w:val="24"/>
    </w:rPr>
  </w:style>
  <w:style w:type="paragraph" w:styleId="1009" w:customStyle="1">
    <w:name w:val="正文首行缩进 21"/>
    <w:basedOn w:val="1010"/>
    <w:next w:val="1008"/>
    <w:uiPriority w:val="0"/>
    <w:qFormat/>
    <w:pPr>
      <w:ind w:firstLine="420"/>
    </w:pPr>
  </w:style>
  <w:style w:type="paragraph" w:styleId="1010" w:customStyle="1">
    <w:name w:val="正文文本缩进1"/>
    <w:basedOn w:val="951"/>
    <w:next w:val="1011"/>
    <w:uiPriority w:val="0"/>
    <w:qFormat/>
    <w:pPr>
      <w:ind w:left="420"/>
      <w:spacing w:after="120"/>
    </w:pPr>
  </w:style>
  <w:style w:type="paragraph" w:styleId="1011" w:customStyle="1">
    <w:name w:val="寄信人地址1"/>
    <w:basedOn w:val="951"/>
    <w:uiPriority w:val="0"/>
    <w:qFormat/>
    <w:rPr>
      <w:rFonts w:ascii="Arial" w:hAnsi="Arial"/>
    </w:rPr>
  </w:style>
  <w:style w:type="paragraph" w:styleId="1012" w:customStyle="1">
    <w:name w:val="正文缩进1"/>
    <w:basedOn w:val="951"/>
    <w:next w:val="951"/>
    <w:uiPriority w:val="0"/>
    <w:qFormat/>
    <w:pPr>
      <w:ind w:firstLine="420"/>
      <w:jc w:val="left"/>
      <w:widowControl/>
    </w:pPr>
    <w:rPr>
      <w:rFonts w:eastAsia="楷体_GB2312"/>
      <w:sz w:val="24"/>
      <w:szCs w:val="20"/>
    </w:rPr>
  </w:style>
  <w:style w:type="paragraph" w:styleId="1013" w:customStyle="1">
    <w:name w:val="首行缩进"/>
    <w:basedOn w:val="951"/>
    <w:uiPriority w:val="0"/>
    <w:qFormat/>
    <w:pPr>
      <w:ind w:firstLine="480"/>
    </w:pPr>
    <w:rPr>
      <w:lang w:val="zh-CN"/>
    </w:rPr>
  </w:style>
  <w:style w:type="paragraph" w:styleId="1014" w:customStyle="1">
    <w:name w:val="正文文本11"/>
    <w:basedOn w:val="951"/>
    <w:uiPriority w:val="99"/>
    <w:qFormat/>
    <w:rPr>
      <w:rFonts w:ascii="楷体_GB2312" w:hAnsi="宋体" w:eastAsia="楷体_GB2312"/>
      <w:sz w:val="28"/>
      <w:szCs w:val="28"/>
    </w:rPr>
  </w:style>
  <w:style w:type="paragraph" w:styleId="1015" w:customStyle="1">
    <w:name w:val="段"/>
    <w:next w:val="951"/>
    <w:uiPriority w:val="0"/>
    <w:qFormat/>
    <w:pPr>
      <w:ind w:firstLine="200"/>
      <w:jc w:val="both"/>
    </w:pPr>
    <w:rPr>
      <w:rFonts w:ascii="宋体" w:hAnsi="Times New Roman" w:eastAsia="宋体" w:cs="Times New Roman"/>
      <w:sz w:val="21"/>
      <w:szCs w:val="22"/>
      <w:lang w:val="en-US" w:eastAsia="zh-CN" w:bidi="ar-SA"/>
    </w:rPr>
  </w:style>
  <w:style w:type="character" w:styleId="1016" w:customStyle="1">
    <w:name w:val="普通(网站) 字符"/>
    <w:link w:val="986"/>
    <w:uiPriority w:val="0"/>
    <w:qFormat/>
    <w:rPr>
      <w:rFonts w:ascii="宋体" w:hAnsi="宋体" w:cs="宋体"/>
      <w:sz w:val="24"/>
      <w:szCs w:val="24"/>
    </w:rPr>
  </w:style>
  <w:style w:type="character" w:styleId="1017" w:customStyle="1">
    <w:name w:val="纯文本 字符"/>
    <w:link w:val="973"/>
    <w:uiPriority w:val="0"/>
    <w:qFormat/>
    <w:rPr>
      <w:rFonts w:ascii="宋体" w:hAnsi="Courier New" w:eastAsia="楷体_GB2312"/>
      <w:sz w:val="28"/>
    </w:rPr>
  </w:style>
  <w:style w:type="character" w:styleId="1018" w:customStyle="1">
    <w:name w:val="font11"/>
    <w:uiPriority w:val="0"/>
    <w:qFormat/>
    <w:rPr>
      <w:rFonts w:hint="eastAsia" w:ascii="宋体" w:hAnsi="宋体" w:eastAsia="宋体" w:cs="宋体"/>
      <w:color w:val="000000"/>
      <w:sz w:val="24"/>
      <w:szCs w:val="24"/>
      <w:u w:val="none"/>
    </w:rPr>
  </w:style>
  <w:style w:type="character" w:styleId="1019" w:customStyle="1">
    <w:name w:val="blue"/>
    <w:uiPriority w:val="0"/>
    <w:qFormat/>
    <w:rPr>
      <w:rFonts w:ascii="Times New Roman" w:hAnsi="Times New Roman" w:eastAsia="宋体" w:cs="Times New Roman"/>
    </w:rPr>
  </w:style>
  <w:style w:type="character" w:styleId="1020" w:customStyle="1">
    <w:name w:val="grame"/>
    <w:uiPriority w:val="0"/>
    <w:qFormat/>
    <w:rPr>
      <w:rFonts w:ascii="Times New Roman" w:hAnsi="Times New Roman" w:eastAsia="宋体" w:cs="Times New Roman"/>
    </w:rPr>
  </w:style>
  <w:style w:type="character" w:styleId="1021" w:customStyle="1">
    <w:name w:val="Plain Text Char Char"/>
    <w:link w:val="1022"/>
    <w:uiPriority w:val="0"/>
    <w:qFormat/>
    <w:rPr>
      <w:rFonts w:ascii="宋体" w:hAnsi="Courier New" w:eastAsia="楷体_GB2312"/>
      <w:sz w:val="28"/>
    </w:rPr>
  </w:style>
  <w:style w:type="paragraph" w:styleId="1022" w:customStyle="1">
    <w:name w:val="纯文本4"/>
    <w:basedOn w:val="951"/>
    <w:link w:val="1021"/>
    <w:uiPriority w:val="0"/>
    <w:qFormat/>
    <w:rPr>
      <w:rFonts w:ascii="宋体" w:hAnsi="Courier New" w:eastAsia="楷体_GB2312"/>
      <w:sz w:val="28"/>
      <w:lang w:val="zh-CN"/>
    </w:rPr>
  </w:style>
  <w:style w:type="character" w:styleId="1023" w:customStyle="1">
    <w:name w:val="H4 Char2"/>
    <w:uiPriority w:val="0"/>
    <w:qFormat/>
    <w:rPr>
      <w:rFonts w:hint="default" w:ascii="Arial" w:hAnsi="Arial" w:eastAsia="黑体" w:cs="Arial"/>
      <w:b/>
      <w:sz w:val="28"/>
      <w:szCs w:val="28"/>
      <w:lang w:val="en-US" w:eastAsia="zh-CN"/>
    </w:rPr>
  </w:style>
  <w:style w:type="character" w:styleId="1024" w:customStyle="1">
    <w:name w:val="文档结构图 字符"/>
    <w:link w:val="965"/>
    <w:uiPriority w:val="99"/>
    <w:qFormat/>
    <w:rPr>
      <w:rFonts w:ascii="宋体"/>
      <w:sz w:val="18"/>
      <w:szCs w:val="18"/>
    </w:rPr>
  </w:style>
  <w:style w:type="character" w:styleId="1025" w:customStyle="1">
    <w:name w:val="标题 4 字符"/>
    <w:link w:val="955"/>
    <w:uiPriority w:val="0"/>
    <w:qFormat/>
    <w:rPr>
      <w:b/>
      <w:bCs/>
      <w:sz w:val="28"/>
      <w:szCs w:val="28"/>
    </w:rPr>
  </w:style>
  <w:style w:type="character" w:styleId="1026" w:customStyle="1">
    <w:name w:val="content1"/>
    <w:uiPriority w:val="0"/>
    <w:qFormat/>
    <w:rPr>
      <w:rFonts w:hint="eastAsia" w:ascii="??" w:hAnsi="??" w:eastAsia="??" w:cs="??"/>
      <w:sz w:val="16"/>
      <w:szCs w:val="16"/>
      <w:u w:val="none"/>
    </w:rPr>
  </w:style>
  <w:style w:type="character" w:styleId="1027" w:customStyle="1">
    <w:name w:val="Andy_正文 Char"/>
    <w:link w:val="1028"/>
    <w:uiPriority w:val="0"/>
    <w:qFormat/>
    <w:rPr>
      <w:rFonts w:ascii="Calibri" w:hAnsi="Calibri"/>
      <w:sz w:val="24"/>
      <w:szCs w:val="24"/>
    </w:rPr>
  </w:style>
  <w:style w:type="paragraph" w:styleId="1028" w:customStyle="1">
    <w:name w:val="Andy_正文"/>
    <w:basedOn w:val="951"/>
    <w:link w:val="1027"/>
    <w:uiPriority w:val="0"/>
    <w:qFormat/>
    <w:pPr>
      <w:ind w:firstLine="480"/>
      <w:spacing w:line="360" w:lineRule="auto"/>
    </w:pPr>
    <w:rPr>
      <w:rFonts w:ascii="Calibri" w:hAnsi="Calibri"/>
      <w:sz w:val="24"/>
      <w:szCs w:val="24"/>
      <w:lang w:val="zh-CN"/>
    </w:rPr>
  </w:style>
  <w:style w:type="character" w:styleId="1029" w:customStyle="1">
    <w:name w:val="text"/>
    <w:uiPriority w:val="0"/>
    <w:qFormat/>
    <w:rPr>
      <w:rFonts w:ascii="Times New Roman" w:hAnsi="Times New Roman" w:eastAsia="宋体" w:cs="Times New Roman"/>
    </w:rPr>
  </w:style>
  <w:style w:type="character" w:styleId="1030" w:customStyle="1">
    <w:name w:val="正文文本缩进 字符"/>
    <w:link w:val="969"/>
    <w:uiPriority w:val="0"/>
    <w:qFormat/>
    <w:rPr>
      <w:rFonts w:ascii="宋体" w:hAnsi="宋体" w:cs="宋体"/>
      <w:sz w:val="21"/>
      <w:szCs w:val="24"/>
    </w:rPr>
  </w:style>
  <w:style w:type="character" w:styleId="1031" w:customStyle="1">
    <w:name w:val="font71"/>
    <w:uiPriority w:val="0"/>
    <w:qFormat/>
    <w:rPr>
      <w:rFonts w:hint="default" w:ascii="Times New Roman" w:hAnsi="Times New Roman" w:eastAsia="宋体" w:cs="Times New Roman"/>
      <w:color w:val="000000"/>
      <w:sz w:val="24"/>
      <w:szCs w:val="24"/>
      <w:u w:val="none"/>
    </w:rPr>
  </w:style>
  <w:style w:type="character" w:styleId="1032" w:customStyle="1">
    <w:name w:val="c lh15"/>
    <w:uiPriority w:val="0"/>
    <w:qFormat/>
    <w:rPr>
      <w:rFonts w:ascii="Times New Roman" w:hAnsi="Times New Roman" w:eastAsia="宋体" w:cs="Times New Roman"/>
    </w:rPr>
  </w:style>
  <w:style w:type="character" w:styleId="1033" w:customStyle="1">
    <w:name w:val="prodheadlines"/>
    <w:uiPriority w:val="0"/>
    <w:qFormat/>
    <w:rPr>
      <w:rFonts w:ascii="Times New Roman" w:hAnsi="Times New Roman" w:eastAsia="宋体" w:cs="Times New Roman"/>
    </w:rPr>
  </w:style>
  <w:style w:type="character" w:styleId="1034" w:customStyle="1">
    <w:name w:val="font41"/>
    <w:uiPriority w:val="0"/>
    <w:qFormat/>
    <w:rPr>
      <w:rFonts w:hint="eastAsia" w:ascii="宋体" w:hAnsi="宋体" w:eastAsia="宋体" w:cs="宋体"/>
      <w:b/>
      <w:color w:val="000000"/>
      <w:sz w:val="20"/>
      <w:szCs w:val="20"/>
      <w:u w:val="none"/>
    </w:rPr>
  </w:style>
  <w:style w:type="character" w:styleId="1035" w:customStyle="1">
    <w:name w:val="页脚 Char1"/>
    <w:uiPriority w:val="0"/>
    <w:qFormat/>
    <w:rPr>
      <w:rFonts w:hint="eastAsia" w:ascii="宋体" w:hAnsi="宋体" w:eastAsia="宋体" w:cs="宋体"/>
      <w:sz w:val="18"/>
      <w:szCs w:val="18"/>
      <w:lang w:val="en-US" w:eastAsia="zh-CN"/>
    </w:rPr>
  </w:style>
  <w:style w:type="character" w:styleId="1036" w:customStyle="1">
    <w:name w:val="正文文字首行缩进 Char"/>
    <w:uiPriority w:val="0"/>
    <w:qFormat/>
    <w:rPr>
      <w:rFonts w:ascii="Times New Roman" w:hAnsi="Times New Roman" w:eastAsia="宋体" w:cs="Times New Roman"/>
      <w:sz w:val="21"/>
      <w:szCs w:val="24"/>
    </w:rPr>
  </w:style>
  <w:style w:type="character" w:styleId="1037" w:customStyle="1">
    <w:name w:val="正文文本缩进 3 字符"/>
    <w:link w:val="982"/>
    <w:uiPriority w:val="0"/>
    <w:qFormat/>
    <w:rPr>
      <w:rFonts w:ascii="宋体" w:hAnsi="宋体" w:eastAsia="宋体" w:cs="Times New Roman"/>
      <w:sz w:val="18"/>
      <w:szCs w:val="20"/>
    </w:rPr>
  </w:style>
  <w:style w:type="character" w:styleId="1038" w:customStyle="1">
    <w:name w:val="标题 字符"/>
    <w:link w:val="987"/>
    <w:uiPriority w:val="0"/>
    <w:qFormat/>
    <w:rPr>
      <w:rFonts w:ascii="Arial" w:hAnsi="Arial"/>
      <w:b/>
      <w:sz w:val="32"/>
      <w:szCs w:val="24"/>
    </w:rPr>
  </w:style>
  <w:style w:type="character" w:styleId="1039" w:customStyle="1">
    <w:name w:val="标题 8 字符"/>
    <w:link w:val="959"/>
    <w:uiPriority w:val="0"/>
    <w:qFormat/>
    <w:rPr>
      <w:rFonts w:ascii="Arial" w:hAnsi="Arial" w:eastAsia="黑体"/>
      <w:sz w:val="24"/>
      <w:szCs w:val="24"/>
    </w:rPr>
  </w:style>
  <w:style w:type="character" w:styleId="1040" w:customStyle="1">
    <w:name w:val="正文文本首行缩进 字符"/>
    <w:link w:val="989"/>
    <w:uiPriority w:val="0"/>
    <w:qFormat/>
    <w:rPr>
      <w:sz w:val="28"/>
      <w:szCs w:val="24"/>
    </w:rPr>
  </w:style>
  <w:style w:type="character" w:styleId="1041" w:customStyle="1">
    <w:name w:val="页眉 Char1"/>
    <w:uiPriority w:val="0"/>
    <w:qFormat/>
    <w:rPr>
      <w:rFonts w:hint="eastAsia" w:ascii="宋体" w:hAnsi="宋体" w:eastAsia="宋体" w:cs="宋体"/>
      <w:sz w:val="18"/>
      <w:szCs w:val="18"/>
      <w:lang w:val="en-US" w:eastAsia="zh-CN"/>
    </w:rPr>
  </w:style>
  <w:style w:type="character" w:styleId="1042" w:customStyle="1">
    <w:name w:val="批注文字 字符"/>
    <w:link w:val="966"/>
    <w:uiPriority w:val="99"/>
    <w:qFormat/>
    <w:rPr>
      <w:rFonts w:ascii="Times New Roman" w:hAnsi="Times New Roman" w:eastAsia="宋体" w:cs="Times New Roman"/>
      <w:szCs w:val="20"/>
    </w:rPr>
  </w:style>
  <w:style w:type="character" w:styleId="1043" w:customStyle="1">
    <w:name w:val="缩进正文 Char"/>
    <w:uiPriority w:val="0"/>
    <w:qFormat/>
    <w:rPr>
      <w:rFonts w:hint="eastAsia" w:ascii="仿宋_GB2312" w:hAnsi="Times New Roman" w:eastAsia="仿宋_GB2312" w:cs="宋体"/>
      <w:sz w:val="28"/>
      <w:lang w:val="en-US" w:eastAsia="zh-CN"/>
    </w:rPr>
  </w:style>
  <w:style w:type="character" w:styleId="1044" w:customStyle="1">
    <w:name w:val="章标题1 Char"/>
    <w:uiPriority w:val="0"/>
    <w:qFormat/>
    <w:rPr>
      <w:rFonts w:hint="eastAsia" w:ascii="宋体" w:hAnsi="宋体" w:eastAsia="宋体" w:cs="宋体"/>
      <w:b/>
      <w:sz w:val="32"/>
      <w:szCs w:val="32"/>
      <w:lang w:val="en-US" w:eastAsia="zh-CN"/>
    </w:rPr>
  </w:style>
  <w:style w:type="character" w:styleId="1045" w:customStyle="1">
    <w:name w:val="标题 2 Char"/>
    <w:uiPriority w:val="0"/>
    <w:qFormat/>
    <w:rPr>
      <w:rFonts w:ascii="Cambria" w:hAnsi="Cambria" w:eastAsia="宋体" w:cs="Times New Roman"/>
      <w:b/>
      <w:bCs/>
      <w:sz w:val="32"/>
      <w:szCs w:val="32"/>
    </w:rPr>
  </w:style>
  <w:style w:type="character" w:styleId="1046" w:customStyle="1">
    <w:name w:val="标题 5 字符"/>
    <w:link w:val="956"/>
    <w:uiPriority w:val="0"/>
    <w:qFormat/>
    <w:rPr>
      <w:b/>
      <w:bCs/>
      <w:i/>
      <w:iCs/>
      <w:sz w:val="26"/>
      <w:szCs w:val="26"/>
    </w:rPr>
  </w:style>
  <w:style w:type="character" w:styleId="1047" w:customStyle="1">
    <w:name w:val="标题 2 字符"/>
    <w:link w:val="953"/>
    <w:uiPriority w:val="0"/>
    <w:qFormat/>
    <w:rPr>
      <w:rFonts w:ascii="Cambria" w:hAnsi="Cambria"/>
      <w:b/>
      <w:bCs/>
      <w:sz w:val="32"/>
      <w:szCs w:val="32"/>
    </w:rPr>
  </w:style>
  <w:style w:type="character" w:styleId="1048" w:customStyle="1">
    <w:name w:val="unnamed4"/>
    <w:uiPriority w:val="0"/>
    <w:qFormat/>
    <w:rPr>
      <w:rFonts w:ascii="Times New Roman" w:hAnsi="Times New Roman" w:eastAsia="宋体" w:cs="Times New Roman"/>
    </w:rPr>
  </w:style>
  <w:style w:type="character" w:styleId="1049" w:customStyle="1">
    <w:name w:val="正文文本 Char1"/>
    <w:uiPriority w:val="99"/>
    <w:semiHidden/>
    <w:qFormat/>
    <w:rPr>
      <w:rFonts w:ascii="Times New Roman" w:hAnsi="Times New Roman" w:eastAsia="宋体" w:cs="Times New Roman"/>
      <w:szCs w:val="20"/>
    </w:rPr>
  </w:style>
  <w:style w:type="character" w:styleId="1050" w:customStyle="1">
    <w:name w:val="标题 1 字符"/>
    <w:link w:val="952"/>
    <w:uiPriority w:val="0"/>
    <w:qFormat/>
    <w:rPr>
      <w:b/>
      <w:bCs/>
      <w:sz w:val="44"/>
      <w:szCs w:val="44"/>
    </w:rPr>
  </w:style>
  <w:style w:type="character" w:styleId="1051" w:customStyle="1">
    <w:name w:val="font101"/>
    <w:uiPriority w:val="0"/>
    <w:qFormat/>
    <w:rPr>
      <w:rFonts w:hint="eastAsia" w:ascii="宋体" w:hAnsi="宋体" w:eastAsia="宋体" w:cs="宋体"/>
      <w:color w:val="ff0000"/>
      <w:sz w:val="20"/>
      <w:szCs w:val="20"/>
      <w:u w:val="none"/>
    </w:rPr>
  </w:style>
  <w:style w:type="character" w:styleId="1052" w:customStyle="1">
    <w:name w:val="font31"/>
    <w:uiPriority w:val="0"/>
    <w:qFormat/>
    <w:rPr>
      <w:rFonts w:hint="default" w:ascii="Arial" w:hAnsi="Arial" w:eastAsia="宋体" w:cs="Arial"/>
      <w:color w:val="000000"/>
      <w:sz w:val="20"/>
      <w:szCs w:val="20"/>
      <w:u w:val="none"/>
    </w:rPr>
  </w:style>
  <w:style w:type="character" w:styleId="1053" w:customStyle="1">
    <w:name w:val="NormalCharacter"/>
    <w:uiPriority w:val="99"/>
    <w:qFormat/>
  </w:style>
  <w:style w:type="character" w:styleId="1054" w:customStyle="1">
    <w:name w:val="--规划正文 Char1"/>
    <w:uiPriority w:val="0"/>
    <w:qFormat/>
    <w:rPr>
      <w:rFonts w:hint="eastAsia" w:ascii="宋体" w:hAnsi="宋体" w:eastAsia="宋体" w:cs="宋体"/>
      <w:sz w:val="21"/>
      <w:lang w:val="en-US" w:eastAsia="zh-CN"/>
    </w:rPr>
  </w:style>
  <w:style w:type="character" w:styleId="1055" w:customStyle="1">
    <w:name w:val="info4"/>
    <w:uiPriority w:val="0"/>
    <w:qFormat/>
    <w:rPr>
      <w:rFonts w:ascii="Times New Roman" w:hAnsi="Times New Roman" w:eastAsia="宋体" w:cs="Times New Roman"/>
    </w:rPr>
  </w:style>
  <w:style w:type="character" w:styleId="1056" w:customStyle="1">
    <w:name w:val="stylelianjie1"/>
    <w:basedOn w:val="961"/>
    <w:uiPriority w:val="0"/>
    <w:qFormat/>
  </w:style>
  <w:style w:type="character" w:styleId="1057" w:customStyle="1">
    <w:name w:val="mode"/>
    <w:uiPriority w:val="0"/>
    <w:qFormat/>
    <w:rPr>
      <w:rFonts w:ascii="Times New Roman" w:hAnsi="Times New Roman" w:eastAsia="宋体" w:cs="Times New Roman"/>
    </w:rPr>
  </w:style>
  <w:style w:type="character" w:styleId="1058" w:customStyle="1">
    <w:name w:val="标题 1 Char"/>
    <w:uiPriority w:val="0"/>
    <w:qFormat/>
    <w:rPr>
      <w:b/>
      <w:bCs/>
      <w:sz w:val="44"/>
      <w:szCs w:val="44"/>
    </w:rPr>
  </w:style>
  <w:style w:type="character" w:styleId="1059" w:customStyle="1">
    <w:name w:val="HTML 预设格式 字符"/>
    <w:link w:val="985"/>
    <w:uiPriority w:val="0"/>
    <w:qFormat/>
    <w:rPr>
      <w:rFonts w:ascii="Courier New" w:hAnsi="Courier New"/>
      <w:szCs w:val="24"/>
    </w:rPr>
  </w:style>
  <w:style w:type="character" w:styleId="1060" w:customStyle="1">
    <w:name w:val="正文文本 字符"/>
    <w:link w:val="968"/>
    <w:uiPriority w:val="0"/>
    <w:qFormat/>
  </w:style>
  <w:style w:type="character" w:styleId="1061" w:customStyle="1">
    <w:name w:val="批注主题 字符"/>
    <w:link w:val="988"/>
    <w:uiPriority w:val="0"/>
    <w:qFormat/>
    <w:rPr>
      <w:rFonts w:ascii="Times New Roman" w:hAnsi="Times New Roman" w:eastAsia="宋体" w:cs="Times New Roman"/>
      <w:b/>
      <w:bCs/>
      <w:sz w:val="21"/>
      <w:szCs w:val="24"/>
    </w:rPr>
  </w:style>
  <w:style w:type="character" w:styleId="1062" w:customStyle="1">
    <w:name w:val="标题 4 Char"/>
    <w:uiPriority w:val="0"/>
    <w:qFormat/>
    <w:rPr>
      <w:rFonts w:ascii="Cambria" w:hAnsi="Cambria" w:eastAsia="宋体" w:cs="Times New Roman"/>
      <w:b/>
      <w:bCs/>
      <w:sz w:val="28"/>
      <w:szCs w:val="28"/>
    </w:rPr>
  </w:style>
  <w:style w:type="character" w:styleId="1063" w:customStyle="1">
    <w:name w:val="font"/>
    <w:uiPriority w:val="0"/>
    <w:qFormat/>
    <w:rPr>
      <w:rFonts w:ascii="Times New Roman" w:hAnsi="Times New Roman" w:eastAsia="宋体" w:cs="Times New Roman"/>
    </w:rPr>
  </w:style>
  <w:style w:type="character" w:styleId="1064" w:customStyle="1">
    <w:name w:val="proddescription"/>
    <w:uiPriority w:val="0"/>
    <w:qFormat/>
    <w:rPr>
      <w:rFonts w:ascii="Times New Roman" w:hAnsi="Times New Roman" w:eastAsia="宋体" w:cs="Times New Roman"/>
    </w:rPr>
  </w:style>
  <w:style w:type="character" w:styleId="1065" w:customStyle="1">
    <w:name w:val="日期 字符"/>
    <w:link w:val="974"/>
    <w:uiPriority w:val="0"/>
    <w:qFormat/>
    <w:rPr>
      <w:rFonts w:ascii="Times New Roman" w:hAnsi="Times New Roman" w:eastAsia="宋体" w:cs="Times New Roman"/>
      <w:szCs w:val="20"/>
    </w:rPr>
  </w:style>
  <w:style w:type="character" w:styleId="1066" w:customStyle="1">
    <w:name w:val="15"/>
    <w:uiPriority w:val="0"/>
    <w:qFormat/>
    <w:rPr>
      <w:rFonts w:hint="default" w:ascii="Times New Roman" w:hAnsi="Times New Roman" w:eastAsia="宋体" w:cs="Times New Roman"/>
      <w:color w:val="0000ff"/>
      <w:u w:val="single"/>
    </w:rPr>
  </w:style>
  <w:style w:type="character" w:styleId="1067" w:customStyle="1">
    <w:name w:val="标题 3 Char"/>
    <w:uiPriority w:val="0"/>
    <w:qFormat/>
    <w:rPr>
      <w:b/>
      <w:bCs/>
      <w:sz w:val="32"/>
      <w:szCs w:val="32"/>
    </w:rPr>
  </w:style>
  <w:style w:type="character" w:styleId="1068" w:customStyle="1">
    <w:name w:val="font81"/>
    <w:uiPriority w:val="0"/>
    <w:qFormat/>
    <w:rPr>
      <w:rFonts w:hint="default" w:ascii="Arial" w:hAnsi="Arial" w:eastAsia="宋体" w:cs="Arial"/>
      <w:b/>
      <w:color w:val="000000"/>
      <w:sz w:val="20"/>
      <w:szCs w:val="20"/>
      <w:u w:val="none"/>
    </w:rPr>
  </w:style>
  <w:style w:type="character" w:styleId="1069" w:customStyle="1">
    <w:name w:val="批注框文本 字符"/>
    <w:link w:val="976"/>
    <w:uiPriority w:val="0"/>
    <w:qFormat/>
    <w:rPr>
      <w:rFonts w:ascii="Times New Roman" w:hAnsi="Times New Roman" w:eastAsia="宋体" w:cs="Times New Roman"/>
      <w:sz w:val="18"/>
      <w:szCs w:val="18"/>
    </w:rPr>
  </w:style>
  <w:style w:type="character" w:styleId="1070" w:customStyle="1">
    <w:name w:val="font01"/>
    <w:uiPriority w:val="0"/>
    <w:qFormat/>
    <w:rPr>
      <w:rFonts w:hint="eastAsia" w:ascii="宋体" w:hAnsi="宋体" w:eastAsia="宋体" w:cs="宋体"/>
      <w:b/>
      <w:color w:val="000000"/>
      <w:sz w:val="24"/>
      <w:szCs w:val="24"/>
      <w:u w:val="none"/>
    </w:rPr>
  </w:style>
  <w:style w:type="character" w:styleId="1071" w:customStyle="1">
    <w:name w:val="第*章 Char"/>
    <w:uiPriority w:val="0"/>
    <w:qFormat/>
    <w:rPr>
      <w:rFonts w:hint="default" w:ascii="Arial" w:hAnsi="Arial" w:eastAsia="黑体" w:cs="Arial"/>
      <w:b/>
      <w:sz w:val="32"/>
      <w:szCs w:val="32"/>
    </w:rPr>
  </w:style>
  <w:style w:type="character" w:styleId="1072" w:customStyle="1">
    <w:name w:val="标题 3 字符"/>
    <w:link w:val="954"/>
    <w:uiPriority w:val="0"/>
    <w:qFormat/>
    <w:rPr>
      <w:b/>
      <w:sz w:val="21"/>
      <w:szCs w:val="32"/>
    </w:rPr>
  </w:style>
  <w:style w:type="character" w:styleId="1073" w:customStyle="1">
    <w:name w:val="标题 6 字符"/>
    <w:link w:val="957"/>
    <w:uiPriority w:val="0"/>
    <w:qFormat/>
    <w:rPr>
      <w:rFonts w:ascii="Arial" w:hAnsi="Arial" w:eastAsia="黑体"/>
      <w:b/>
      <w:sz w:val="24"/>
      <w:szCs w:val="24"/>
    </w:rPr>
  </w:style>
  <w:style w:type="character" w:styleId="1074" w:customStyle="1">
    <w:name w:val="标题 5 Char"/>
    <w:uiPriority w:val="0"/>
    <w:qFormat/>
    <w:rPr>
      <w:b/>
      <w:bCs/>
      <w:sz w:val="28"/>
      <w:szCs w:val="28"/>
    </w:rPr>
  </w:style>
  <w:style w:type="character" w:styleId="1075" w:customStyle="1">
    <w:name w:val="正文文本缩进 2 字符"/>
    <w:link w:val="975"/>
    <w:uiPriority w:val="0"/>
    <w:qFormat/>
    <w:rPr>
      <w:rFonts w:ascii="宋体" w:hAnsi="宋体" w:eastAsia="宋体" w:cs="Times New Roman"/>
      <w:color w:val="ff0000"/>
      <w:sz w:val="24"/>
      <w:szCs w:val="20"/>
    </w:rPr>
  </w:style>
  <w:style w:type="character" w:styleId="1076" w:customStyle="1">
    <w:name w:val="font2"/>
    <w:uiPriority w:val="0"/>
    <w:qFormat/>
    <w:rPr>
      <w:rFonts w:ascii="Times New Roman" w:hAnsi="Times New Roman" w:eastAsia="宋体" w:cs="Times New Roman"/>
    </w:rPr>
  </w:style>
  <w:style w:type="character" w:styleId="1077" w:customStyle="1">
    <w:name w:val="font51"/>
    <w:basedOn w:val="961"/>
    <w:uiPriority w:val="0"/>
    <w:qFormat/>
    <w:rPr>
      <w:rFonts w:hint="default" w:ascii="Times New Roman" w:hAnsi="Times New Roman" w:eastAsia="宋体" w:cs="Times New Roman"/>
      <w:color w:val="000000"/>
      <w:sz w:val="24"/>
      <w:szCs w:val="24"/>
      <w:u w:val="none"/>
    </w:rPr>
  </w:style>
  <w:style w:type="character" w:styleId="1078" w:customStyle="1">
    <w:name w:val="四号 Char"/>
    <w:uiPriority w:val="0"/>
    <w:qFormat/>
    <w:rPr>
      <w:rFonts w:hint="eastAsia" w:ascii="楷体_GB2312" w:hAnsi="Times New Roman" w:eastAsia="楷体_GB2312" w:cs="楷体_GB2312"/>
      <w:sz w:val="24"/>
      <w:lang w:val="en-US" w:eastAsia="zh-CN"/>
    </w:rPr>
  </w:style>
  <w:style w:type="character" w:styleId="1079" w:customStyle="1">
    <w:name w:val="font91"/>
    <w:uiPriority w:val="0"/>
    <w:qFormat/>
    <w:rPr>
      <w:rFonts w:hint="eastAsia" w:ascii="宋体" w:hAnsi="宋体" w:eastAsia="宋体" w:cs="宋体"/>
      <w:color w:val="000000"/>
      <w:sz w:val="20"/>
      <w:szCs w:val="20"/>
      <w:u w:val="none"/>
    </w:rPr>
  </w:style>
  <w:style w:type="character" w:styleId="1080" w:customStyle="1">
    <w:name w:val="unnamed3"/>
    <w:uiPriority w:val="0"/>
    <w:qFormat/>
    <w:rPr>
      <w:rFonts w:ascii="Times New Roman" w:hAnsi="Times New Roman" w:eastAsia="宋体" w:cs="Times New Roman"/>
    </w:rPr>
  </w:style>
  <w:style w:type="character" w:styleId="1081" w:customStyle="1">
    <w:name w:val="页眉 字符"/>
    <w:link w:val="979"/>
    <w:uiPriority w:val="0"/>
    <w:qFormat/>
    <w:rPr>
      <w:sz w:val="18"/>
      <w:szCs w:val="18"/>
    </w:rPr>
  </w:style>
  <w:style w:type="character" w:styleId="1082" w:customStyle="1">
    <w:name w:val="纯文本 Char1"/>
    <w:uiPriority w:val="99"/>
    <w:semiHidden/>
    <w:qFormat/>
    <w:rPr>
      <w:rFonts w:ascii="宋体" w:hAnsi="Courier New" w:eastAsia="宋体" w:cs="Courier New"/>
      <w:szCs w:val="21"/>
    </w:rPr>
  </w:style>
  <w:style w:type="character" w:styleId="1083" w:customStyle="1">
    <w:name w:val="标题 9 字符"/>
    <w:link w:val="960"/>
    <w:uiPriority w:val="0"/>
    <w:qFormat/>
    <w:rPr>
      <w:rFonts w:ascii="Arial" w:hAnsi="Arial" w:eastAsia="黑体"/>
      <w:sz w:val="21"/>
      <w:szCs w:val="24"/>
    </w:rPr>
  </w:style>
  <w:style w:type="character" w:styleId="1084" w:customStyle="1">
    <w:name w:val="gongsi12"/>
    <w:basedOn w:val="961"/>
    <w:uiPriority w:val="0"/>
    <w:qFormat/>
  </w:style>
  <w:style w:type="character" w:styleId="1085" w:customStyle="1">
    <w:name w:val="正文文本 2 字符"/>
    <w:link w:val="984"/>
    <w:uiPriority w:val="0"/>
    <w:qFormat/>
    <w:rPr>
      <w:sz w:val="21"/>
      <w:szCs w:val="24"/>
    </w:rPr>
  </w:style>
  <w:style w:type="character" w:styleId="1086" w:customStyle="1">
    <w:name w:val="Plain Text Char"/>
    <w:link w:val="1087"/>
    <w:uiPriority w:val="0"/>
    <w:qFormat/>
    <w:rPr>
      <w:rFonts w:ascii="宋体" w:hAnsi="Courier New"/>
      <w:sz w:val="28"/>
      <w:szCs w:val="24"/>
    </w:rPr>
  </w:style>
  <w:style w:type="paragraph" w:styleId="1087" w:customStyle="1">
    <w:name w:val="纯文本1"/>
    <w:basedOn w:val="951"/>
    <w:link w:val="1086"/>
    <w:uiPriority w:val="0"/>
    <w:qFormat/>
    <w:rPr>
      <w:rFonts w:ascii="宋体" w:hAnsi="Courier New"/>
      <w:sz w:val="28"/>
      <w:szCs w:val="24"/>
      <w:lang w:val="zh-CN"/>
    </w:rPr>
  </w:style>
  <w:style w:type="character" w:styleId="1088" w:customStyle="1">
    <w:name w:val="标题 3 Char Char"/>
    <w:uiPriority w:val="0"/>
    <w:qFormat/>
    <w:rPr>
      <w:rFonts w:hint="eastAsia" w:ascii="宋体" w:hAnsi="宋体" w:eastAsia="宋体" w:cs="宋体"/>
      <w:b/>
      <w:sz w:val="32"/>
      <w:szCs w:val="32"/>
      <w:lang w:val="en-US" w:eastAsia="zh-CN"/>
    </w:rPr>
  </w:style>
  <w:style w:type="character" w:styleId="1089" w:customStyle="1">
    <w:name w:val="gray6"/>
    <w:uiPriority w:val="0"/>
    <w:qFormat/>
    <w:rPr>
      <w:rFonts w:ascii="Times New Roman" w:hAnsi="Times New Roman" w:eastAsia="宋体" w:cs="Times New Roman"/>
    </w:rPr>
  </w:style>
  <w:style w:type="character" w:styleId="1090" w:customStyle="1">
    <w:name w:val="正文文本 3 字符"/>
    <w:link w:val="967"/>
    <w:uiPriority w:val="0"/>
    <w:qFormat/>
    <w:rPr>
      <w:sz w:val="16"/>
      <w:szCs w:val="24"/>
    </w:rPr>
  </w:style>
  <w:style w:type="character" w:styleId="1091" w:customStyle="1">
    <w:name w:val="正文缩进 字符"/>
    <w:link w:val="964"/>
    <w:uiPriority w:val="0"/>
    <w:qFormat/>
    <w:rPr>
      <w:rFonts w:eastAsia="楷体_GB2312"/>
      <w:sz w:val="24"/>
    </w:rPr>
  </w:style>
  <w:style w:type="character" w:styleId="1092" w:customStyle="1">
    <w:name w:val="style9"/>
    <w:uiPriority w:val="0"/>
    <w:qFormat/>
    <w:rPr>
      <w:rFonts w:ascii="Times New Roman" w:hAnsi="Times New Roman" w:eastAsia="宋体" w:cs="Times New Roman"/>
    </w:rPr>
  </w:style>
  <w:style w:type="character" w:styleId="1093" w:customStyle="1">
    <w:name w:val="标题 7 字符"/>
    <w:link w:val="958"/>
    <w:uiPriority w:val="0"/>
    <w:qFormat/>
    <w:rPr>
      <w:b/>
      <w:sz w:val="24"/>
      <w:szCs w:val="24"/>
    </w:rPr>
  </w:style>
  <w:style w:type="character" w:styleId="1094" w:customStyle="1">
    <w:name w:val="font61"/>
    <w:basedOn w:val="961"/>
    <w:uiPriority w:val="0"/>
    <w:qFormat/>
    <w:rPr>
      <w:rFonts w:hint="default" w:ascii="方正仿宋简体" w:hAnsi="方正仿宋简体" w:eastAsia="方正仿宋简体" w:cs="方正仿宋简体"/>
      <w:color w:val="000000"/>
      <w:sz w:val="24"/>
      <w:szCs w:val="24"/>
      <w:u w:val="none"/>
    </w:rPr>
  </w:style>
  <w:style w:type="character" w:styleId="1095" w:customStyle="1">
    <w:name w:val="页脚 字符"/>
    <w:link w:val="977"/>
    <w:uiPriority w:val="99"/>
    <w:qFormat/>
    <w:rPr>
      <w:sz w:val="18"/>
      <w:szCs w:val="18"/>
    </w:rPr>
  </w:style>
  <w:style w:type="character" w:styleId="1096" w:customStyle="1">
    <w:name w:val="正文文本缩进 Char1"/>
    <w:uiPriority w:val="99"/>
    <w:semiHidden/>
    <w:qFormat/>
    <w:rPr>
      <w:sz w:val="21"/>
    </w:rPr>
  </w:style>
  <w:style w:type="character" w:styleId="1097" w:customStyle="1">
    <w:name w:val="font21"/>
    <w:uiPriority w:val="0"/>
    <w:qFormat/>
    <w:rPr>
      <w:rFonts w:hint="eastAsia" w:ascii="宋体" w:hAnsi="宋体" w:eastAsia="宋体" w:cs="宋体"/>
      <w:color w:val="000000"/>
      <w:sz w:val="18"/>
      <w:szCs w:val="18"/>
    </w:rPr>
  </w:style>
  <w:style w:type="character" w:styleId="1098" w:customStyle="1">
    <w:name w:val="样式 小三 加粗"/>
    <w:uiPriority w:val="0"/>
    <w:qFormat/>
    <w:rPr>
      <w:rFonts w:hint="eastAsia" w:ascii="宋体" w:hAnsi="宋体" w:eastAsia="宋体" w:cs="宋体"/>
      <w:b/>
      <w:sz w:val="32"/>
    </w:rPr>
  </w:style>
  <w:style w:type="character" w:styleId="1099" w:customStyle="1">
    <w:name w:val="--规划正文 Char Char"/>
    <w:uiPriority w:val="0"/>
    <w:qFormat/>
    <w:rPr>
      <w:rFonts w:hint="eastAsia" w:ascii="宋体" w:hAnsi="宋体" w:eastAsia="宋体" w:cs="宋体"/>
      <w:sz w:val="24"/>
      <w:szCs w:val="24"/>
      <w:lang w:val="en-US" w:eastAsia="zh-CN"/>
    </w:rPr>
  </w:style>
  <w:style w:type="character" w:styleId="1100" w:customStyle="1">
    <w:name w:val="apple-style-span"/>
    <w:uiPriority w:val="0"/>
    <w:qFormat/>
  </w:style>
  <w:style w:type="paragraph" w:styleId="1101" w:customStyle="1">
    <w:name w:val="正文 1.1"/>
    <w:basedOn w:val="951"/>
    <w:next w:val="1102"/>
    <w:uiPriority w:val="0"/>
    <w:qFormat/>
    <w:pPr>
      <w:ind w:left="980" w:hanging="980"/>
      <w:spacing w:line="360" w:lineRule="auto"/>
      <w:outlineLvl w:val="1"/>
    </w:pPr>
    <w:rPr>
      <w:rFonts w:ascii="仿宋" w:hAnsi="仿宋" w:eastAsia="仿宋"/>
      <w:b/>
      <w:sz w:val="28"/>
      <w:szCs w:val="21"/>
    </w:rPr>
  </w:style>
  <w:style w:type="paragraph" w:styleId="1102" w:customStyle="1">
    <w:name w:val="正文 1.1.1"/>
    <w:basedOn w:val="951"/>
    <w:next w:val="951"/>
    <w:uiPriority w:val="0"/>
    <w:qFormat/>
    <w:pPr>
      <w:spacing w:line="360" w:lineRule="auto"/>
      <w:tabs>
        <w:tab w:val="left" w:pos="851" w:leader="none"/>
      </w:tabs>
      <w:outlineLvl w:val="2"/>
    </w:pPr>
    <w:rPr>
      <w:rFonts w:ascii="宋体" w:hAnsi="宋体"/>
      <w:color w:val="ff0000"/>
      <w:sz w:val="28"/>
      <w:szCs w:val="21"/>
    </w:rPr>
  </w:style>
  <w:style w:type="paragraph" w:styleId="1103" w:customStyle="1">
    <w:name w:val="正文2"/>
    <w:basedOn w:val="951"/>
    <w:uiPriority w:val="0"/>
    <w:qFormat/>
    <w:pPr>
      <w:ind w:firstLine="200"/>
      <w:jc w:val="left"/>
      <w:spacing w:after="160" w:line="360" w:lineRule="auto"/>
      <w:widowControl/>
    </w:pPr>
    <w:rPr>
      <w:rFonts w:ascii="Verdana" w:hAnsi="Verdana" w:eastAsia="黑体"/>
      <w:lang w:eastAsia="en-US"/>
    </w:rPr>
  </w:style>
  <w:style w:type="paragraph" w:styleId="1104">
    <w:name w:val="List Paragraph"/>
    <w:basedOn w:val="951"/>
    <w:uiPriority w:val="34"/>
    <w:qFormat/>
    <w:pPr>
      <w:ind w:firstLine="420"/>
      <w:jc w:val="left"/>
      <w:widowControl/>
    </w:pPr>
    <w:rPr>
      <w:sz w:val="24"/>
      <w:szCs w:val="24"/>
    </w:rPr>
  </w:style>
  <w:style w:type="paragraph" w:styleId="1105" w:customStyle="1">
    <w:name w:val="_Style 4"/>
    <w:basedOn w:val="951"/>
    <w:uiPriority w:val="0"/>
    <w:qFormat/>
    <w:pPr>
      <w:ind w:left="420" w:hanging="420"/>
      <w:tabs>
        <w:tab w:val="left" w:pos="420" w:leader="none"/>
      </w:tabs>
    </w:pPr>
    <w:rPr>
      <w:sz w:val="24"/>
      <w:szCs w:val="24"/>
    </w:rPr>
  </w:style>
  <w:style w:type="paragraph" w:styleId="1106" w:customStyle="1">
    <w:name w:val="Plain Text1"/>
    <w:basedOn w:val="951"/>
    <w:uiPriority w:val="0"/>
    <w:qFormat/>
    <w:rPr>
      <w:rFonts w:ascii="宋体" w:hAnsi="Courier New" w:eastAsia="楷体_GB2312"/>
      <w:sz w:val="28"/>
      <w:szCs w:val="22"/>
    </w:rPr>
  </w:style>
  <w:style w:type="paragraph" w:styleId="1107" w:customStyle="1">
    <w:name w:val="正文1"/>
    <w:basedOn w:val="951"/>
    <w:next w:val="951"/>
    <w:uiPriority w:val="0"/>
    <w:qFormat/>
    <w:pPr>
      <w:ind w:left="420" w:firstLine="527"/>
      <w:spacing w:before="120" w:line="360" w:lineRule="auto"/>
    </w:pPr>
    <w:rPr>
      <w:rFonts w:ascii="宋体" w:hAnsi="宋体"/>
    </w:rPr>
  </w:style>
  <w:style w:type="paragraph" w:styleId="1108" w:customStyle="1">
    <w:name w:val="纯文本3"/>
    <w:basedOn w:val="951"/>
    <w:uiPriority w:val="0"/>
    <w:qFormat/>
    <w:rPr>
      <w:rFonts w:ascii="宋体" w:hAnsi="Courier New" w:eastAsia="楷体_GB2312"/>
      <w:sz w:val="28"/>
    </w:rPr>
  </w:style>
  <w:style w:type="paragraph" w:styleId="1109" w:customStyle="1">
    <w:name w:val="Char Char Char"/>
    <w:basedOn w:val="965"/>
    <w:uiPriority w:val="0"/>
    <w:qFormat/>
    <w:pPr>
      <w:spacing w:line="360" w:lineRule="auto"/>
      <w:shd w:val="clear" w:color="auto" w:fill="000080"/>
    </w:pPr>
    <w:rPr>
      <w:rFonts w:ascii="Tahoma" w:hAnsi="Tahoma"/>
      <w:sz w:val="24"/>
      <w:szCs w:val="24"/>
    </w:rPr>
  </w:style>
  <w:style w:type="paragraph" w:styleId="1110" w:customStyle="1">
    <w:name w:val="Char Char Char Char"/>
    <w:basedOn w:val="965"/>
    <w:uiPriority w:val="0"/>
    <w:qFormat/>
    <w:pPr>
      <w:spacing w:line="360" w:lineRule="auto"/>
      <w:shd w:val="clear" w:color="auto" w:fill="000080"/>
    </w:pPr>
    <w:rPr>
      <w:rFonts w:ascii="Times New Roman"/>
      <w:sz w:val="24"/>
      <w:szCs w:val="20"/>
    </w:rPr>
  </w:style>
  <w:style w:type="paragraph" w:styleId="1111" w:customStyle="1">
    <w:name w:val="列出段落1"/>
    <w:basedOn w:val="951"/>
    <w:uiPriority w:val="34"/>
    <w:qFormat/>
    <w:pPr>
      <w:ind w:firstLine="420"/>
    </w:pPr>
    <w:rPr>
      <w:rFonts w:ascii="Calibri" w:hAnsi="Calibri"/>
      <w:szCs w:val="22"/>
    </w:rPr>
  </w:style>
  <w:style w:type="paragraph" w:styleId="1112" w:customStyle="1">
    <w:name w:val="Char Char Char1 Char Char Char Char"/>
    <w:basedOn w:val="951"/>
    <w:uiPriority w:val="0"/>
    <w:qFormat/>
    <w:pPr>
      <w:jc w:val="left"/>
      <w:spacing w:after="160" w:line="240" w:lineRule="exact"/>
      <w:widowControl/>
    </w:pPr>
    <w:rPr>
      <w:sz w:val="24"/>
      <w:szCs w:val="24"/>
    </w:rPr>
  </w:style>
  <w:style w:type="paragraph" w:styleId="1113" w:customStyle="1">
    <w:name w:val="列项——（一级）"/>
    <w:basedOn w:val="951"/>
    <w:uiPriority w:val="0"/>
    <w:qFormat/>
    <w:pPr>
      <w:numPr>
        <w:ilvl w:val="0"/>
        <w:numId w:val="1"/>
      </w:numPr>
    </w:pPr>
    <w:rPr>
      <w:rFonts w:hint="eastAsia" w:ascii="宋体"/>
      <w:szCs w:val="22"/>
    </w:rPr>
  </w:style>
  <w:style w:type="paragraph" w:styleId="1114" w:customStyle="1">
    <w:name w:val="Char Char Char Char Char Char Char Char Char1 Char Char Char Char"/>
    <w:basedOn w:val="965"/>
    <w:uiPriority w:val="0"/>
    <w:qFormat/>
    <w:pPr>
      <w:spacing w:line="360" w:lineRule="auto"/>
      <w:shd w:val="clear" w:color="auto" w:fill="000080"/>
    </w:pPr>
    <w:rPr>
      <w:rFonts w:ascii="Times New Roman" w:eastAsia="楷体_GB2312"/>
      <w:sz w:val="26"/>
      <w:szCs w:val="20"/>
    </w:rPr>
  </w:style>
  <w:style w:type="paragraph" w:styleId="1115" w:customStyle="1">
    <w:name w:val="正文空2格  1."/>
    <w:basedOn w:val="951"/>
    <w:uiPriority w:val="0"/>
    <w:qFormat/>
    <w:pPr>
      <w:ind w:firstLine="480"/>
      <w:spacing w:line="360" w:lineRule="auto"/>
    </w:pPr>
    <w:rPr>
      <w:rFonts w:ascii="宋体" w:eastAsia="仿宋" w:cs="宋体"/>
      <w:sz w:val="28"/>
    </w:rPr>
  </w:style>
  <w:style w:type="paragraph" w:styleId="1116" w:customStyle="1">
    <w:name w:val="纯文本2"/>
    <w:basedOn w:val="951"/>
    <w:uiPriority w:val="0"/>
    <w:qFormat/>
    <w:rPr>
      <w:rFonts w:ascii="宋体" w:hAnsi="Courier New" w:eastAsia="楷体_GB2312"/>
      <w:sz w:val="28"/>
    </w:rPr>
  </w:style>
  <w:style w:type="paragraph" w:styleId="1117" w:customStyle="1">
    <w:name w:val="列出段落11"/>
    <w:basedOn w:val="951"/>
    <w:uiPriority w:val="0"/>
    <w:qFormat/>
    <w:pPr>
      <w:ind w:firstLine="420"/>
    </w:pPr>
  </w:style>
  <w:style w:type="paragraph" w:styleId="1118" w:customStyle="1">
    <w:name w:val="Char Char Char Char1"/>
    <w:basedOn w:val="951"/>
    <w:uiPriority w:val="0"/>
    <w:qFormat/>
    <w:pPr>
      <w:jc w:val="left"/>
      <w:widowControl/>
    </w:pPr>
    <w:rPr>
      <w:rFonts w:ascii="Tahoma" w:hAnsi="Tahoma"/>
      <w:sz w:val="24"/>
    </w:rPr>
  </w:style>
  <w:style w:type="paragraph" w:styleId="1119" w:customStyle="1">
    <w:name w:val="可研正文"/>
    <w:basedOn w:val="951"/>
    <w:uiPriority w:val="0"/>
    <w:qFormat/>
    <w:pPr>
      <w:ind w:left="987"/>
      <w:tabs>
        <w:tab w:val="left" w:pos="987" w:leader="none"/>
      </w:tabs>
    </w:pPr>
    <w:rPr>
      <w:rFonts w:ascii="仿宋_GB2312" w:hAnsi="宋体" w:eastAsia="仿宋_GB2312"/>
      <w:bCs/>
      <w:szCs w:val="28"/>
    </w:rPr>
  </w:style>
  <w:style w:type="paragraph" w:styleId="1120" w:customStyle="1">
    <w:name w:val="Char Char Char Char Char Char Char Char Char1 Char"/>
    <w:basedOn w:val="965"/>
    <w:uiPriority w:val="0"/>
    <w:qFormat/>
    <w:pPr>
      <w:spacing w:line="360" w:lineRule="auto"/>
      <w:shd w:val="clear" w:color="auto" w:fill="000080"/>
    </w:pPr>
    <w:rPr>
      <w:rFonts w:ascii="Tahoma" w:hAnsi="Tahoma"/>
      <w:sz w:val="24"/>
      <w:szCs w:val="24"/>
    </w:rPr>
  </w:style>
  <w:style w:type="paragraph" w:styleId="1121" w:customStyle="1">
    <w:name w:val="p0"/>
    <w:basedOn w:val="951"/>
    <w:uiPriority w:val="0"/>
    <w:qFormat/>
    <w:pPr>
      <w:widowControl/>
    </w:pPr>
    <w:rPr>
      <w:szCs w:val="21"/>
    </w:rPr>
  </w:style>
  <w:style w:type="paragraph" w:styleId="1122" w:customStyle="1">
    <w:name w:val="列出段落2"/>
    <w:basedOn w:val="951"/>
    <w:uiPriority w:val="0"/>
    <w:qFormat/>
    <w:pPr>
      <w:ind w:firstLine="420"/>
    </w:pPr>
    <w:rPr>
      <w:szCs w:val="24"/>
    </w:rPr>
  </w:style>
  <w:style w:type="paragraph" w:styleId="1123" w:customStyle="1">
    <w:name w:val="Char"/>
    <w:basedOn w:val="951"/>
    <w:uiPriority w:val="0"/>
    <w:qFormat/>
    <w:pPr>
      <w:ind w:left="420" w:hanging="420"/>
      <w:tabs>
        <w:tab w:val="left" w:pos="420" w:leader="none"/>
      </w:tabs>
    </w:pPr>
    <w:rPr>
      <w:sz w:val="24"/>
      <w:szCs w:val="24"/>
    </w:rPr>
  </w:style>
  <w:style w:type="paragraph" w:styleId="1124" w:customStyle="1">
    <w:name w:val="_Style 2"/>
    <w:basedOn w:val="951"/>
    <w:uiPriority w:val="0"/>
    <w:qFormat/>
    <w:pPr>
      <w:ind w:firstLine="420"/>
    </w:pPr>
    <w:rPr>
      <w:rFonts w:ascii="Calibri" w:hAnsi="Calibri"/>
      <w:szCs w:val="22"/>
    </w:rPr>
  </w:style>
  <w:style w:type="paragraph" w:styleId="1125" w:customStyle="1">
    <w:name w:val="Char1 Char Char Char"/>
    <w:basedOn w:val="951"/>
    <w:uiPriority w:val="0"/>
    <w:qFormat/>
    <w:rPr>
      <w:rFonts w:ascii="Tahoma" w:hAnsi="Tahoma"/>
      <w:sz w:val="24"/>
    </w:rPr>
  </w:style>
  <w:style w:type="paragraph" w:styleId="1126" w:customStyle="1">
    <w:name w:val="纯文本111"/>
    <w:basedOn w:val="951"/>
    <w:uiPriority w:val="0"/>
    <w:qFormat/>
    <w:rPr>
      <w:rFonts w:ascii="宋体" w:hAnsi="Courier New" w:eastAsia="楷体_GB2312"/>
      <w:sz w:val="28"/>
    </w:rPr>
  </w:style>
  <w:style w:type="paragraph" w:styleId="1127" w:customStyle="1">
    <w:name w:val="纯文本11"/>
    <w:basedOn w:val="951"/>
    <w:link w:val="1131"/>
    <w:uiPriority w:val="0"/>
    <w:qFormat/>
    <w:rPr>
      <w:rFonts w:ascii="宋体" w:hAnsi="Courier New" w:eastAsia="楷体_GB2312"/>
      <w:sz w:val="26"/>
      <w:szCs w:val="24"/>
    </w:rPr>
  </w:style>
  <w:style w:type="paragraph" w:styleId="1128" w:customStyle="1">
    <w:name w:val="正文空4格  1）"/>
    <w:basedOn w:val="951"/>
    <w:uiPriority w:val="0"/>
    <w:qFormat/>
    <w:pPr>
      <w:ind w:firstLine="1120"/>
      <w:spacing w:line="360" w:lineRule="auto"/>
    </w:pPr>
    <w:rPr>
      <w:rFonts w:ascii="宋体" w:eastAsia="仿宋" w:cs="宋体"/>
      <w:sz w:val="28"/>
    </w:rPr>
  </w:style>
  <w:style w:type="character" w:styleId="1129" w:customStyle="1">
    <w:name w:val="a正文 Char"/>
    <w:link w:val="1130"/>
    <w:uiPriority w:val="0"/>
    <w:qFormat/>
    <w:rPr>
      <w:color w:val="000000"/>
      <w:sz w:val="24"/>
      <w:szCs w:val="28"/>
    </w:rPr>
  </w:style>
  <w:style w:type="paragraph" w:styleId="1130" w:customStyle="1">
    <w:name w:val="a正文"/>
    <w:basedOn w:val="951"/>
    <w:link w:val="1129"/>
    <w:uiPriority w:val="0"/>
    <w:qFormat/>
    <w:pPr>
      <w:ind w:firstLine="200"/>
      <w:jc w:val="left"/>
      <w:spacing w:line="360" w:lineRule="auto"/>
    </w:pPr>
    <w:rPr>
      <w:color w:val="000000"/>
      <w:sz w:val="24"/>
      <w:szCs w:val="28"/>
      <w:lang w:val="zh-CN"/>
    </w:rPr>
  </w:style>
  <w:style w:type="character" w:styleId="1131" w:customStyle="1">
    <w:name w:val="纯文本 Char Char"/>
    <w:link w:val="1127"/>
    <w:uiPriority w:val="0"/>
    <w:qFormat/>
    <w:rPr>
      <w:rFonts w:ascii="宋体" w:hAnsi="Courier New" w:eastAsia="楷体_GB2312"/>
      <w:sz w:val="26"/>
      <w:szCs w:val="24"/>
    </w:rPr>
  </w:style>
  <w:style w:type="paragraph" w:styleId="1132" w:customStyle="1">
    <w:name w:val="列表段落1"/>
    <w:basedOn w:val="951"/>
    <w:uiPriority w:val="34"/>
    <w:qFormat/>
    <w:pPr>
      <w:ind w:firstLine="420"/>
    </w:pPr>
    <w:rPr>
      <w:rFonts w:ascii="Calibri" w:hAnsi="Calibri"/>
      <w:szCs w:val="22"/>
    </w:rPr>
  </w:style>
  <w:style w:type="character" w:styleId="1133" w:customStyle="1">
    <w:name w:val="fontstyle01"/>
    <w:basedOn w:val="961"/>
    <w:uiPriority w:val="0"/>
    <w:qFormat/>
    <w:rPr>
      <w:rFonts w:hint="eastAsia" w:ascii="宋体" w:hAnsi="宋体" w:eastAsia="宋体"/>
      <w:color w:val="000000"/>
      <w:sz w:val="24"/>
      <w:szCs w:val="24"/>
    </w:rPr>
  </w:style>
  <w:style w:type="table" w:styleId="1134" w:customStyle="1">
    <w:name w:val="Table Normal"/>
    <w:uiPriority w:val="2"/>
    <w:semiHidden/>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character" w:styleId="1135" w:customStyle="1">
    <w:name w:val="正文文本首行缩进 2 字符"/>
    <w:basedOn w:val="1030"/>
    <w:link w:val="990"/>
    <w:uiPriority w:val="99"/>
    <w:qFormat/>
    <w:rPr>
      <w:rFonts w:ascii="宋体" w:hAnsi="宋体" w:cs="宋体"/>
      <w:sz w:val="21"/>
      <w:szCs w:val="24"/>
    </w:rPr>
  </w:style>
  <w:style w:type="paragraph" w:styleId="1136" w:customStyle="1">
    <w:name w:val="普通(网站)1"/>
    <w:basedOn w:val="951"/>
    <w:uiPriority w:val="0"/>
    <w:qFormat/>
    <w:pPr>
      <w:jc w:val="left"/>
      <w:spacing w:before="100" w:beforeAutospacing="1" w:after="100" w:afterAutospacing="1"/>
      <w:widowControl/>
    </w:pPr>
    <w:rPr>
      <w:rFonts w:ascii="宋体" w:hAnsi="宋体" w:cs="宋体"/>
      <w:sz w:val="24"/>
      <w:szCs w:val="24"/>
    </w:rPr>
  </w:style>
  <w:style w:type="paragraph" w:styleId="1137" w:customStyle="1">
    <w:name w:val="[正文行首缩进]"/>
    <w:uiPriority w:val="0"/>
    <w:qFormat/>
    <w:pPr>
      <w:ind w:firstLine="480"/>
      <w:jc w:val="both"/>
      <w:spacing w:line="360" w:lineRule="auto"/>
      <w:widowControl w:val="off"/>
    </w:pPr>
    <w:rPr>
      <w:rFonts w:ascii="Times New Roman" w:hAnsi="Times New Roman" w:eastAsia="宋体" w:cs="Times New Roman"/>
      <w:bCs/>
      <w:color w:val="000000"/>
      <w:sz w:val="24"/>
      <w:szCs w:val="24"/>
      <w:lang w:val="en-US" w:eastAsia="zh-CN" w:bidi="ar-SA"/>
    </w:rPr>
  </w:style>
  <w:style w:type="paragraph" w:styleId="1138" w:customStyle="1">
    <w:name w:val="Default"/>
    <w:uiPriority w:val="99"/>
    <w:unhideWhenUsed/>
    <w:qFormat/>
    <w:pPr>
      <w:widowControl w:val="off"/>
    </w:pPr>
    <w:rPr>
      <w:rFonts w:hint="eastAsia" w:ascii="微软雅黑" w:hAnsi="微软雅黑" w:eastAsia="微软雅黑" w:cs="Times New Roman"/>
      <w:color w:val="000000"/>
      <w:sz w:val="24"/>
      <w:szCs w:val="24"/>
      <w:lang w:val="en-US" w:eastAsia="zh-CN" w:bidi="ar-SA"/>
    </w:rPr>
  </w:style>
  <w:style w:type="paragraph" w:styleId="1139" w:customStyle="1">
    <w:name w:val="Heading 2"/>
    <w:basedOn w:val="951"/>
    <w:next w:val="951"/>
    <w:uiPriority w:val="0"/>
    <w:qFormat/>
    <w:pPr>
      <w:jc w:val="center"/>
      <w:keepLines/>
      <w:keepNext/>
    </w:pPr>
    <w:rPr>
      <w:rFonts w:ascii="宋体" w:hAnsi="宋体" w:eastAsia="楷体_GB2312"/>
      <w:b/>
      <w:sz w:val="44"/>
    </w:rPr>
  </w:style>
  <w:style w:type="paragraph" w:styleId="1140" w:customStyle="1">
    <w:name w:val="格式３"/>
    <w:basedOn w:val="951"/>
    <w:uiPriority w:val="0"/>
    <w:qFormat/>
    <w:pPr>
      <w:ind w:left="600" w:hanging="600"/>
      <w:spacing w:line="420" w:lineRule="exact"/>
    </w:pPr>
    <w:rPr>
      <w:rFonts w:ascii="宋体" w:hAnsi="宋体"/>
      <w:color w:val="000000"/>
      <w:sz w:val="24"/>
      <w:szCs w:val="20"/>
    </w:rPr>
  </w:style>
  <w:style w:type="character" w:styleId="1141" w:customStyle="1">
    <w:name w:val="NormalCharacter1"/>
    <w:link w:val="951"/>
    <w:uiPriority w:val="99"/>
    <w:qFormat/>
    <w:rPr>
      <w:rFonts w:ascii="Times New Roman" w:hAnsi="Times New Roman" w:eastAsia="宋体" w:cs="Times New Roman"/>
      <w:sz w:val="21"/>
      <w:lang w:val="en-US" w:eastAsia="zh-CN" w:bidi="ar-SA"/>
    </w:rPr>
  </w:style>
  <w:style w:type="numbering" w:styleId="114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hyperlink" Target="http://jszfcg.jsczt.cn/" TargetMode="External"/><Relationship Id="rId16" Type="http://schemas.openxmlformats.org/officeDocument/2006/relationships/hyperlink" Target="http://jszfcg.jsczt.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9F5A0A8B-DDA4-49FE-AC3C-33DD1857DF08}"/>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中国微软</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张徐莹</cp:lastModifiedBy>
  <cp:revision>308</cp:revision>
  <dcterms:created xsi:type="dcterms:W3CDTF">2021-02-18T07:31:00Z</dcterms:created>
  <dcterms:modified xsi:type="dcterms:W3CDTF">2026-06-09T05:53:28Z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5F6B329802ED4730AFB7DF3F3EAA67DC_13</vt:lpwstr>
  </property>
  <property fmtid="{D5CDD505-2E9C-101B-9397-08002B2CF9AE}" pid="4" name="KSOTemplateDocerSaveRecord">
    <vt:lpwstr>eyJoZGlkIjoiNTUzZTFkZDNkMjgyNDk0ZTEzODEwZDBmYjMwNTgxZmEiLCJ1c2VySWQiOiIxNDUyNjkzNzQ2In0=</vt:lpwstr>
  </property>
</Properties>
</file>